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AE" w:rsidRPr="00163FBA" w:rsidRDefault="00F046AE" w:rsidP="000E4B55">
      <w:pPr>
        <w:autoSpaceDE w:val="0"/>
        <w:autoSpaceDN w:val="0"/>
        <w:adjustRightInd w:val="0"/>
        <w:ind w:right="-2688"/>
        <w:rPr>
          <w:rFonts w:ascii="Times New Roman" w:hAnsi="Times New Roman" w:cs="Times New Roman"/>
        </w:rPr>
      </w:pPr>
    </w:p>
    <w:p w:rsidR="00163FBA" w:rsidRPr="00163FBA" w:rsidRDefault="00163FBA" w:rsidP="000E4B55">
      <w:pPr>
        <w:autoSpaceDE w:val="0"/>
        <w:autoSpaceDN w:val="0"/>
        <w:adjustRightInd w:val="0"/>
        <w:ind w:right="-2688"/>
        <w:rPr>
          <w:rFonts w:ascii="Times New Roman" w:hAnsi="Times New Roman" w:cs="Times New Roman"/>
        </w:rPr>
      </w:pP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December </w:t>
      </w:r>
      <w:r w:rsidR="008D14B0">
        <w:rPr>
          <w:rFonts w:ascii="Times New Roman" w:hAnsi="Times New Roman" w:cs="Times New Roman"/>
        </w:rPr>
        <w:t>12</w:t>
      </w:r>
      <w:r w:rsidRPr="00163FBA">
        <w:rPr>
          <w:rFonts w:ascii="Times New Roman" w:hAnsi="Times New Roman" w:cs="Times New Roman"/>
        </w:rPr>
        <w:t xml:space="preserve">, 2018 </w:t>
      </w: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Mr. Brent J. Fields </w:t>
      </w: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Secretary  </w:t>
      </w: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Securities and Exchange Commission </w:t>
      </w: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100 F Street NE </w:t>
      </w: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Washington, D.C. 20549-1090  </w:t>
      </w:r>
    </w:p>
    <w:p w:rsidR="000E4B55" w:rsidRPr="00163FBA" w:rsidRDefault="000E4B55" w:rsidP="000E4B55">
      <w:pPr>
        <w:autoSpaceDE w:val="0"/>
        <w:autoSpaceDN w:val="0"/>
        <w:adjustRightInd w:val="0"/>
        <w:ind w:right="-2688"/>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b/>
          <w:bCs/>
        </w:rPr>
      </w:pPr>
      <w:r w:rsidRPr="00163FBA">
        <w:rPr>
          <w:rFonts w:ascii="Times New Roman" w:hAnsi="Times New Roman" w:cs="Times New Roman"/>
          <w:b/>
          <w:bCs/>
        </w:rPr>
        <w:t xml:space="preserve">Re: Additional Comments on Applying the Protections of Regulation Best Interest to Small Retirement Plan Fiduciaries; Regulation Best Interest Release No. 34-83062; File Number S7-07-18 </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Dear Mr. Fields:</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The American Retirement Association (“ARA”) thanks the Securities and Exchange Commission (“Commission”) for the thought</w:t>
      </w:r>
      <w:r w:rsidR="00715155" w:rsidRPr="00163FBA">
        <w:rPr>
          <w:rFonts w:ascii="Times New Roman" w:hAnsi="Times New Roman" w:cs="Times New Roman"/>
        </w:rPr>
        <w:t xml:space="preserve"> </w:t>
      </w:r>
      <w:r w:rsidRPr="00163FBA">
        <w:rPr>
          <w:rFonts w:ascii="Times New Roman" w:hAnsi="Times New Roman" w:cs="Times New Roman"/>
        </w:rPr>
        <w:t xml:space="preserve">and effort dedicated to its regulatory package consisting of the proposed Regulation Best Interest, 83 Fed. Reg. 21574 (May 9, 2018), Proposed Commission Interpretation Regarding Standard of Conduct for Investment Advisers; Request for Comment on Enhancing Investment Adviser Regulation, 83 Fed. Reg. 21203 (May 9, 2018), (the “Proposed Interpretation”), and Form CRS Relationship Summary; Amendments to Form ADV; Required Disclosures in Retail Communications and Restrictions on the Use of Certain Names or Titles, 83 Fed. Reg. 21416 (May 9, 2018) (collectively, the “Proposals”). We appreciate the opportunity to provide additional comments regarding the definition of ‘retail customer” in proposed Regulation Best Interest. </w:t>
      </w:r>
    </w:p>
    <w:p w:rsidR="000E4B55" w:rsidRPr="00163FBA" w:rsidRDefault="000E4B55" w:rsidP="00B33683">
      <w:r w:rsidRPr="00163FBA">
        <w:t xml:space="preserve"> </w:t>
      </w:r>
    </w:p>
    <w:p w:rsidR="00163FBA" w:rsidRPr="00163FBA" w:rsidRDefault="00163FBA" w:rsidP="00163FBA">
      <w:pPr>
        <w:rPr>
          <w:rFonts w:ascii="Times New Roman" w:hAnsi="Times New Roman" w:cs="Times New Roman"/>
        </w:rPr>
      </w:pPr>
      <w:r w:rsidRPr="00163FBA">
        <w:rPr>
          <w:rFonts w:ascii="Times New Roman" w:hAnsi="Times New Roman" w:cs="Times New Roman"/>
        </w:rPr>
        <w:t>ARA is the coordinating entity for its five underlying affiliate organizations representing the full spectrum of America’s private retirement system, the American Society of Pension Professionals and Actuaries (“ASPPA”), the National Association of Plan Advisors (“NAPA”), the National Tax-Deferred Savings Association (“NTSA”), the ASPPA College of Pension Actuaries (“ACOPA”), and the Plan Sponsor Council of America (“PSCA”). ARA’s members include organizations of all sizes and industries across the nation who sponsor and/or support retirement saving plans and are dedicated to expanding on the success of employer sponsored plans. In addition, ARA has more than 25,000 individual members who provide consulting and administrative services to American workers, savers, and the sponsors of retirement plans. ARA’s members are diverse but united in their common dedication to the success of America’s private retirement system.</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color w:val="2E5198"/>
        </w:rPr>
      </w:pPr>
      <w:r w:rsidRPr="00163FBA">
        <w:rPr>
          <w:rFonts w:ascii="Times New Roman" w:hAnsi="Times New Roman" w:cs="Times New Roman"/>
          <w:b/>
          <w:bCs/>
          <w:color w:val="2E5198"/>
        </w:rPr>
        <w:t xml:space="preserve">Executive Summary </w:t>
      </w:r>
      <w:r w:rsidRPr="00163FBA">
        <w:rPr>
          <w:rFonts w:ascii="Times New Roman" w:hAnsi="Times New Roman" w:cs="Times New Roman"/>
          <w:color w:val="2E5198"/>
        </w:rPr>
        <w:t xml:space="preserve"> </w:t>
      </w:r>
    </w:p>
    <w:p w:rsidR="0057259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ARA and its underlying affiliate organizations have long been supportive of initiatives by the federal government to improve the private retirement system. ARA looks forward to working with the Commission to provide input throughout the regulatory process. We support the principle underlying the Proposals, which is that investors are best served when the interests of the financial services professional and investors are aligned. In particular, ARA supports putting the interests of investors (and particularly retirement investors) front and center under a “best interest” standard. Furthermore, we support the Commission’s efforts to tailor these rules to preserve investor choice with regard to business models and compensation practices in a manner that is workable for broker-dealers and investment advisers alike. Consistent with this support, ARA </w:t>
      </w:r>
      <w:r w:rsidR="00572595" w:rsidRPr="00163FBA">
        <w:rPr>
          <w:rFonts w:ascii="Times New Roman" w:hAnsi="Times New Roman" w:cs="Times New Roman"/>
        </w:rPr>
        <w:t xml:space="preserve">respectively requests </w:t>
      </w:r>
      <w:r w:rsidRPr="00163FBA">
        <w:rPr>
          <w:rFonts w:ascii="Times New Roman" w:hAnsi="Times New Roman" w:cs="Times New Roman"/>
        </w:rPr>
        <w:t>the</w:t>
      </w:r>
      <w:r w:rsidR="00572595" w:rsidRPr="00163FBA">
        <w:rPr>
          <w:rFonts w:ascii="Times New Roman" w:hAnsi="Times New Roman" w:cs="Times New Roman"/>
        </w:rPr>
        <w:t xml:space="preserve"> Commission clarify that broker-</w:t>
      </w:r>
      <w:r w:rsidR="00E075F1" w:rsidRPr="00163FBA">
        <w:rPr>
          <w:rFonts w:ascii="Times New Roman" w:hAnsi="Times New Roman" w:cs="Times New Roman"/>
        </w:rPr>
        <w:t>dealers’</w:t>
      </w:r>
      <w:r w:rsidR="00572595" w:rsidRPr="00163FBA">
        <w:rPr>
          <w:rFonts w:ascii="Times New Roman" w:hAnsi="Times New Roman" w:cs="Times New Roman"/>
        </w:rPr>
        <w:t xml:space="preserve"> recommendations to non-professional fiduciaries of small retirement plans are required to comply with the best interest obligation because such fiduciaries are “retail customers” within the meaning of Regulation Best Interest. </w:t>
      </w:r>
    </w:p>
    <w:p w:rsidR="00163FBA" w:rsidRPr="00163FBA" w:rsidRDefault="00163FBA" w:rsidP="00B33683">
      <w:pPr>
        <w:autoSpaceDE w:val="0"/>
        <w:autoSpaceDN w:val="0"/>
        <w:adjustRightInd w:val="0"/>
        <w:rPr>
          <w:rFonts w:ascii="Times New Roman" w:hAnsi="Times New Roman" w:cs="Times New Roman"/>
          <w:b/>
          <w:bCs/>
        </w:rPr>
      </w:pPr>
    </w:p>
    <w:p w:rsidR="00711DDA" w:rsidRPr="00163FBA" w:rsidRDefault="000E4B55" w:rsidP="00B33683">
      <w:pPr>
        <w:autoSpaceDE w:val="0"/>
        <w:autoSpaceDN w:val="0"/>
        <w:adjustRightInd w:val="0"/>
        <w:rPr>
          <w:rFonts w:ascii="Times New Roman" w:hAnsi="Times New Roman" w:cs="Times New Roman"/>
          <w:b/>
          <w:bCs/>
          <w:color w:val="2E5198"/>
        </w:rPr>
      </w:pPr>
      <w:r w:rsidRPr="00163FBA">
        <w:rPr>
          <w:rFonts w:ascii="Times New Roman" w:hAnsi="Times New Roman" w:cs="Times New Roman"/>
          <w:b/>
          <w:bCs/>
          <w:color w:val="2E5198"/>
        </w:rPr>
        <w:t xml:space="preserve">Retail Customer in the Retirement Plan Context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The proposed Regulation Best Interest defines a “retail customer” as: “a person, or the legal representative of such person, who: (A) Receives a recommendation of any securities transaction or investment strategy involving securities from a broker, dealer or a natural person who is an associated person of a broker or dealer; and (B) Uses the recommendation primarily for personal, family, or household purposes.”</w:t>
      </w:r>
      <w:r w:rsidR="00393978" w:rsidRPr="00163FBA">
        <w:rPr>
          <w:rStyle w:val="FootnoteReference"/>
          <w:rFonts w:ascii="Times New Roman" w:hAnsi="Times New Roman" w:cs="Times New Roman"/>
        </w:rPr>
        <w:footnoteReference w:id="1"/>
      </w:r>
      <w:r w:rsidR="00393978" w:rsidRPr="00163FBA">
        <w:rPr>
          <w:rFonts w:ascii="Times New Roman" w:hAnsi="Times New Roman" w:cs="Times New Roman"/>
        </w:rPr>
        <w:t xml:space="preserve">. </w:t>
      </w:r>
      <w:r w:rsidRPr="00163FBA">
        <w:rPr>
          <w:rFonts w:ascii="Times New Roman" w:hAnsi="Times New Roman" w:cs="Times New Roman"/>
        </w:rPr>
        <w:t>In the preamble to the proposed Regulation Best Interest, the Commission clarified that it had crafted this definition to “cover non-natural persons that the Commission believes would benefit . . . (such as trusts that represent the assets of a natural person).”</w:t>
      </w:r>
      <w:r w:rsidR="001F2537" w:rsidRPr="00163FBA">
        <w:rPr>
          <w:rStyle w:val="FootnoteReference"/>
          <w:rFonts w:ascii="Times New Roman" w:hAnsi="Times New Roman" w:cs="Times New Roman"/>
        </w:rPr>
        <w:footnoteReference w:id="2"/>
      </w:r>
      <w:r w:rsidRPr="00163FBA">
        <w:rPr>
          <w:rFonts w:ascii="Times New Roman" w:hAnsi="Times New Roman" w:cs="Times New Roman"/>
        </w:rPr>
        <w:t xml:space="preserve"> The Commission also stated the definition would cover recommendations given directly to the participants of plans covered by the Employee Retirement Income Security Act of 1974, as amended (“ERISA”).</w:t>
      </w:r>
      <w:r w:rsidR="00202D33" w:rsidRPr="00163FBA">
        <w:rPr>
          <w:rStyle w:val="FootnoteReference"/>
          <w:rFonts w:ascii="Times New Roman" w:hAnsi="Times New Roman" w:cs="Times New Roman"/>
        </w:rPr>
        <w:footnoteReference w:id="3"/>
      </w:r>
      <w:r w:rsidRPr="00163FBA">
        <w:rPr>
          <w:rFonts w:ascii="Times New Roman" w:hAnsi="Times New Roman" w:cs="Times New Roman"/>
        </w:rPr>
        <w:t xml:space="preserve">  ARA believes the Commission should clarify that non-professional fiduciaries of small employer-sponsored retirement plans are </w:t>
      </w:r>
      <w:r w:rsidR="00ED3158" w:rsidRPr="00163FBA">
        <w:rPr>
          <w:rFonts w:ascii="Times New Roman" w:hAnsi="Times New Roman" w:cs="Times New Roman"/>
        </w:rPr>
        <w:t>included in</w:t>
      </w:r>
      <w:r w:rsidRPr="00163FBA">
        <w:rPr>
          <w:rFonts w:ascii="Times New Roman" w:hAnsi="Times New Roman" w:cs="Times New Roman"/>
        </w:rPr>
        <w:t xml:space="preserve"> the </w:t>
      </w:r>
      <w:r w:rsidR="00ED3158" w:rsidRPr="00163FBA">
        <w:rPr>
          <w:rFonts w:ascii="Times New Roman" w:hAnsi="Times New Roman" w:cs="Times New Roman"/>
        </w:rPr>
        <w:t xml:space="preserve">definition of </w:t>
      </w:r>
      <w:r w:rsidRPr="00163FBA">
        <w:rPr>
          <w:rFonts w:ascii="Times New Roman" w:hAnsi="Times New Roman" w:cs="Times New Roman"/>
        </w:rPr>
        <w:t>“retail customer</w:t>
      </w:r>
      <w:r w:rsidR="00ED3158" w:rsidRPr="00163FBA">
        <w:rPr>
          <w:rFonts w:ascii="Times New Roman" w:hAnsi="Times New Roman" w:cs="Times New Roman"/>
        </w:rPr>
        <w:t>.</w:t>
      </w: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Regulation Best Interest makes </w:t>
      </w:r>
      <w:r w:rsidR="00ED3158" w:rsidRPr="00163FBA">
        <w:rPr>
          <w:rFonts w:ascii="Times New Roman" w:hAnsi="Times New Roman" w:cs="Times New Roman"/>
        </w:rPr>
        <w:t xml:space="preserve">it </w:t>
      </w:r>
      <w:r w:rsidRPr="00163FBA">
        <w:rPr>
          <w:rFonts w:ascii="Times New Roman" w:hAnsi="Times New Roman" w:cs="Times New Roman"/>
        </w:rPr>
        <w:t xml:space="preserve">clear that the Commission is seeking to minimize the impact of conflicts </w:t>
      </w:r>
      <w:r w:rsidR="00ED3158" w:rsidRPr="00163FBA">
        <w:rPr>
          <w:rFonts w:ascii="Times New Roman" w:hAnsi="Times New Roman" w:cs="Times New Roman"/>
        </w:rPr>
        <w:t xml:space="preserve">of interest </w:t>
      </w:r>
      <w:r w:rsidRPr="00163FBA">
        <w:rPr>
          <w:rFonts w:ascii="Times New Roman" w:hAnsi="Times New Roman" w:cs="Times New Roman"/>
        </w:rPr>
        <w:t xml:space="preserve">within the financial services marketplace. While pursuing this worthy objective, it is important to note that a significant percentage of assets within the U.S. financial system are held in employer-sponsored retirement plan accounts. In this regard, the Commission appropriately determined that recommendations to rollover or transfer assets from </w:t>
      </w:r>
      <w:r w:rsidR="00ED3158" w:rsidRPr="00163FBA">
        <w:rPr>
          <w:rFonts w:ascii="Times New Roman" w:hAnsi="Times New Roman" w:cs="Times New Roman"/>
        </w:rPr>
        <w:t xml:space="preserve">a </w:t>
      </w:r>
      <w:r w:rsidRPr="00163FBA">
        <w:rPr>
          <w:rFonts w:ascii="Times New Roman" w:hAnsi="Times New Roman" w:cs="Times New Roman"/>
        </w:rPr>
        <w:t>retirement plan should be covered under Regulation Best Interest.</w:t>
      </w:r>
      <w:r w:rsidR="00202D33" w:rsidRPr="00163FBA">
        <w:rPr>
          <w:rStyle w:val="FootnoteReference"/>
          <w:rFonts w:ascii="Times New Roman" w:hAnsi="Times New Roman" w:cs="Times New Roman"/>
        </w:rPr>
        <w:footnoteReference w:id="4"/>
      </w: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The protections afforded by Regulation Best Interest cannot start at the plan participant or IRA rollover level. If they do, the harm that participants may suffer may be irreversible. This is because once a retirement plan participant elects an investment from a retirement plan’s menu of </w:t>
      </w:r>
      <w:r w:rsidR="00ED3158" w:rsidRPr="00163FBA">
        <w:rPr>
          <w:rFonts w:ascii="Times New Roman" w:hAnsi="Times New Roman" w:cs="Times New Roman"/>
        </w:rPr>
        <w:t xml:space="preserve">investment </w:t>
      </w:r>
      <w:r w:rsidR="00622325">
        <w:rPr>
          <w:rFonts w:ascii="Times New Roman" w:hAnsi="Times New Roman" w:cs="Times New Roman"/>
        </w:rPr>
        <w:t>options</w:t>
      </w:r>
      <w:r w:rsidRPr="00163FBA">
        <w:rPr>
          <w:rFonts w:ascii="Times New Roman" w:hAnsi="Times New Roman" w:cs="Times New Roman"/>
        </w:rPr>
        <w:t xml:space="preserve"> (or, in the absence of an election, placed in the plan’s default investment alternative), they are unlikely to review and change investment strategies. When inertia takes over, this investment becomes life-long for many investors. In fact, there is a trend in the industry whereby investors are keeping their savings in their retirement plan past termination of employment and well into retirement. In </w:t>
      </w:r>
      <w:r w:rsidR="00ED3158" w:rsidRPr="00163FBA">
        <w:rPr>
          <w:rFonts w:ascii="Times New Roman" w:hAnsi="Times New Roman" w:cs="Times New Roman"/>
        </w:rPr>
        <w:t xml:space="preserve">many </w:t>
      </w:r>
      <w:r w:rsidRPr="00163FBA">
        <w:rPr>
          <w:rFonts w:ascii="Times New Roman" w:hAnsi="Times New Roman" w:cs="Times New Roman"/>
        </w:rPr>
        <w:t>cases, terminated participants will be investing in their workplace plans for 30 or more years. As such, ARA believes that it is paramount that financial professionals, including broker dealers, be held to a fiduciary standard of care when providing investment advice to plan fiduciaries who are selecting retirement plan investment options for plan participants and their beneficiaries. Fifty-five percent of Americans households participate in employer-sponsored plans.</w:t>
      </w:r>
      <w:r w:rsidR="00DC4C83" w:rsidRPr="00163FBA">
        <w:rPr>
          <w:rStyle w:val="FootnoteReference"/>
          <w:rFonts w:ascii="Times New Roman" w:hAnsi="Times New Roman" w:cs="Times New Roman"/>
        </w:rPr>
        <w:footnoteReference w:id="5"/>
      </w:r>
      <w:r w:rsidRPr="00163FBA">
        <w:rPr>
          <w:rFonts w:ascii="Times New Roman" w:hAnsi="Times New Roman" w:cs="Times New Roman"/>
        </w:rPr>
        <w:t xml:space="preserve"> In terms of magnitude, employer sponsored retirement plans hold $16.9 trillion on behalf of retirement plan participants and their beneficiaries.</w:t>
      </w:r>
      <w:r w:rsidR="00DC4C83" w:rsidRPr="00163FBA">
        <w:rPr>
          <w:rStyle w:val="FootnoteReference"/>
          <w:rFonts w:ascii="Times New Roman" w:hAnsi="Times New Roman" w:cs="Times New Roman"/>
        </w:rPr>
        <w:footnoteReference w:id="6"/>
      </w:r>
    </w:p>
    <w:p w:rsidR="000E4B55" w:rsidRPr="00163FBA" w:rsidRDefault="000E4B55" w:rsidP="00B33683">
      <w:pPr>
        <w:autoSpaceDE w:val="0"/>
        <w:autoSpaceDN w:val="0"/>
        <w:adjustRightInd w:val="0"/>
        <w:rPr>
          <w:rFonts w:ascii="Times New Roman" w:hAnsi="Times New Roman" w:cs="Times New Roman"/>
        </w:rPr>
      </w:pPr>
    </w:p>
    <w:p w:rsidR="00711DDA" w:rsidRPr="00163FBA" w:rsidRDefault="000E4B55" w:rsidP="00B33683">
      <w:pPr>
        <w:autoSpaceDE w:val="0"/>
        <w:autoSpaceDN w:val="0"/>
        <w:adjustRightInd w:val="0"/>
        <w:rPr>
          <w:rFonts w:ascii="Times New Roman" w:hAnsi="Times New Roman" w:cs="Times New Roman"/>
          <w:b/>
          <w:bCs/>
          <w:color w:val="2E5198"/>
        </w:rPr>
      </w:pPr>
      <w:r w:rsidRPr="00163FBA">
        <w:rPr>
          <w:rFonts w:ascii="Times New Roman" w:hAnsi="Times New Roman" w:cs="Times New Roman"/>
          <w:b/>
          <w:bCs/>
          <w:color w:val="2E5198"/>
        </w:rPr>
        <w:t>Closing the Gap in Regulatory Coverage</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ARA </w:t>
      </w:r>
      <w:r w:rsidR="00622325">
        <w:rPr>
          <w:rFonts w:ascii="Times New Roman" w:hAnsi="Times New Roman" w:cs="Times New Roman"/>
        </w:rPr>
        <w:t xml:space="preserve">recommends </w:t>
      </w:r>
      <w:r w:rsidRPr="00163FBA">
        <w:rPr>
          <w:rFonts w:ascii="Times New Roman" w:hAnsi="Times New Roman" w:cs="Times New Roman"/>
        </w:rPr>
        <w:t>that the Commission further clarify Regulation Best Interest to avoid any “gap” in regulatory coverage. Simply put, broker-dealers should be held to the same standards of conduct when providing investment advice to a small retirement plan fiduciary as when providing advice directly to an individual plan participant or IRA holder. Broker-dealers routinely advise fiduciaries of small retirement plans concerning the investments that will be made available to participants under such plans.</w:t>
      </w:r>
      <w:r w:rsidR="002E575B" w:rsidRPr="00163FBA">
        <w:rPr>
          <w:rFonts w:ascii="Times New Roman" w:hAnsi="Times New Roman" w:cs="Times New Roman"/>
        </w:rPr>
        <w:t xml:space="preserve"> </w:t>
      </w:r>
      <w:r w:rsidRPr="00163FBA">
        <w:rPr>
          <w:rFonts w:ascii="Times New Roman" w:hAnsi="Times New Roman" w:cs="Times New Roman"/>
        </w:rPr>
        <w:t>Like individual investors, most small plan business owners acting as retirement plan fiduciaries are not sophisticated investors</w:t>
      </w:r>
      <w:r w:rsidR="00B814E5" w:rsidRPr="00163FBA">
        <w:rPr>
          <w:rFonts w:ascii="Times New Roman" w:hAnsi="Times New Roman" w:cs="Times New Roman"/>
        </w:rPr>
        <w:t xml:space="preserve">. Most simply </w:t>
      </w:r>
      <w:r w:rsidRPr="00163FBA">
        <w:rPr>
          <w:rFonts w:ascii="Times New Roman" w:hAnsi="Times New Roman" w:cs="Times New Roman"/>
        </w:rPr>
        <w:t xml:space="preserve">do not have retirement plan investment expertise.  </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622325" w:rsidP="00B33683">
      <w:pPr>
        <w:autoSpaceDE w:val="0"/>
        <w:autoSpaceDN w:val="0"/>
        <w:adjustRightInd w:val="0"/>
        <w:rPr>
          <w:rFonts w:ascii="Times New Roman" w:hAnsi="Times New Roman" w:cs="Times New Roman"/>
        </w:rPr>
      </w:pPr>
      <w:r>
        <w:rPr>
          <w:rFonts w:ascii="Times New Roman" w:hAnsi="Times New Roman" w:cs="Times New Roman"/>
        </w:rPr>
        <w:t>T</w:t>
      </w:r>
      <w:r w:rsidR="000E4B55" w:rsidRPr="00163FBA">
        <w:rPr>
          <w:rFonts w:ascii="Times New Roman" w:hAnsi="Times New Roman" w:cs="Times New Roman"/>
        </w:rPr>
        <w:t>he quality of investments available under a plan can have a profound impact on a participant’s accumulation of retirement savings over the course of his or her working career. For example, a 50-basis point difference in investment returns, net of fees, over the course of 35 years can mean a difference of more than $100,000 in accumulated retirement savings.</w:t>
      </w:r>
      <w:r w:rsidR="00B34128" w:rsidRPr="00163FBA">
        <w:rPr>
          <w:rStyle w:val="FootnoteReference"/>
          <w:rFonts w:ascii="Times New Roman" w:hAnsi="Times New Roman" w:cs="Times New Roman"/>
        </w:rPr>
        <w:footnoteReference w:id="7"/>
      </w:r>
      <w:r w:rsidR="000E4B55" w:rsidRPr="00163FBA">
        <w:rPr>
          <w:rFonts w:ascii="Times New Roman" w:hAnsi="Times New Roman" w:cs="Times New Roman"/>
        </w:rPr>
        <w:t xml:space="preserve"> Thus, requiring recommendations to small plan fiduciaries to adhere to the Regulation Best Interest’s standard of care would redound to the benefit of tens of millions of plan participants. Further, recommendations to the non-professional fiduciaries of small plans are already subject to FINRA suitability obligations thus applying Regulation Best Interest is an important next step.</w:t>
      </w:r>
      <w:r w:rsidR="00B34128" w:rsidRPr="00163FBA">
        <w:rPr>
          <w:rStyle w:val="FootnoteReference"/>
          <w:rFonts w:ascii="Times New Roman" w:hAnsi="Times New Roman" w:cs="Times New Roman"/>
        </w:rPr>
        <w:footnoteReference w:id="8"/>
      </w:r>
    </w:p>
    <w:p w:rsidR="000E4B55" w:rsidRPr="00163FBA" w:rsidRDefault="000E4B55" w:rsidP="00B33683">
      <w:pPr>
        <w:autoSpaceDE w:val="0"/>
        <w:autoSpaceDN w:val="0"/>
        <w:adjustRightInd w:val="0"/>
        <w:rPr>
          <w:rFonts w:ascii="Times New Roman" w:hAnsi="Times New Roman" w:cs="Times New Roman"/>
        </w:rPr>
      </w:pPr>
    </w:p>
    <w:p w:rsidR="009D11B4"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A textual reading of proposed Regulation Best Interest suggests that retirement plan fiduciaries may </w:t>
      </w:r>
      <w:r w:rsidR="00931444" w:rsidRPr="00163FBA">
        <w:rPr>
          <w:rFonts w:ascii="Times New Roman" w:hAnsi="Times New Roman" w:cs="Times New Roman"/>
        </w:rPr>
        <w:t xml:space="preserve">already </w:t>
      </w:r>
      <w:r w:rsidRPr="00163FBA">
        <w:rPr>
          <w:rFonts w:ascii="Times New Roman" w:hAnsi="Times New Roman" w:cs="Times New Roman"/>
        </w:rPr>
        <w:t>qualify as a “retail customer” under the language of proposed Regulation Best Interest because they act as the “legal representative” of plan participants by exercising control over participants’ beneficial interest in the retirement plan. Fiduciaries of retirement plans include persons with discretionary authority or control respecting the management of a plan or the disposition of its assets.</w:t>
      </w:r>
      <w:r w:rsidR="00013E97" w:rsidRPr="00163FBA">
        <w:rPr>
          <w:rStyle w:val="FootnoteReference"/>
          <w:rFonts w:ascii="Times New Roman" w:hAnsi="Times New Roman" w:cs="Times New Roman"/>
        </w:rPr>
        <w:footnoteReference w:id="9"/>
      </w:r>
      <w:r w:rsidRPr="00163FBA">
        <w:rPr>
          <w:rFonts w:ascii="Times New Roman" w:hAnsi="Times New Roman" w:cs="Times New Roman"/>
        </w:rPr>
        <w:t xml:space="preserve"> These plan fiduciaries make investment decisions, enter into contracts, pursue legal claims, and among other things, interact with regulators, on behalf of the plans they serve.</w:t>
      </w:r>
      <w:r w:rsidR="005056DE" w:rsidRPr="00163FBA">
        <w:rPr>
          <w:rStyle w:val="FootnoteReference"/>
          <w:rFonts w:ascii="Times New Roman" w:hAnsi="Times New Roman" w:cs="Times New Roman"/>
        </w:rPr>
        <w:footnoteReference w:id="10"/>
      </w:r>
      <w:r w:rsidRPr="00163FBA">
        <w:rPr>
          <w:rFonts w:ascii="Times New Roman" w:hAnsi="Times New Roman" w:cs="Times New Roman"/>
        </w:rPr>
        <w:t xml:space="preserve">  </w:t>
      </w:r>
    </w:p>
    <w:p w:rsidR="009D11B4" w:rsidRPr="00163FBA" w:rsidRDefault="009D11B4"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At common law, a fiduciary relationship is based on a relationship of trust and confidence, where one person relies on, and is dependent on the other.</w:t>
      </w:r>
      <w:r w:rsidR="007B6DD9" w:rsidRPr="00163FBA">
        <w:rPr>
          <w:rStyle w:val="FootnoteReference"/>
          <w:rFonts w:ascii="Times New Roman" w:hAnsi="Times New Roman" w:cs="Times New Roman"/>
        </w:rPr>
        <w:footnoteReference w:id="11"/>
      </w:r>
      <w:r w:rsidRPr="00163FBA">
        <w:rPr>
          <w:rFonts w:ascii="Times New Roman" w:hAnsi="Times New Roman" w:cs="Times New Roman"/>
        </w:rPr>
        <w:t xml:space="preserve"> Similarly, it is well-recognized that fiduciaries may act as the legal representative of the persons they serve, meaning that retirement plan fiduciaries act as “legal representatives” of underlying plan participants and beneficiaries.</w:t>
      </w:r>
      <w:r w:rsidR="007B6DD9" w:rsidRPr="00163FBA">
        <w:rPr>
          <w:rStyle w:val="FootnoteReference"/>
          <w:rFonts w:ascii="Times New Roman" w:hAnsi="Times New Roman" w:cs="Times New Roman"/>
        </w:rPr>
        <w:footnoteReference w:id="12"/>
      </w:r>
      <w:r w:rsidRPr="00163FBA">
        <w:rPr>
          <w:rFonts w:ascii="Times New Roman" w:hAnsi="Times New Roman" w:cs="Times New Roman"/>
        </w:rPr>
        <w:t xml:space="preserve"> Therefore, </w:t>
      </w:r>
      <w:r w:rsidR="009D11B4" w:rsidRPr="00163FBA">
        <w:rPr>
          <w:rFonts w:ascii="Times New Roman" w:hAnsi="Times New Roman" w:cs="Times New Roman"/>
        </w:rPr>
        <w:t xml:space="preserve">the </w:t>
      </w:r>
      <w:r w:rsidRPr="00163FBA">
        <w:rPr>
          <w:rFonts w:ascii="Times New Roman" w:hAnsi="Times New Roman" w:cs="Times New Roman"/>
        </w:rPr>
        <w:t xml:space="preserve">ARA </w:t>
      </w:r>
      <w:r w:rsidR="007329DD">
        <w:rPr>
          <w:rFonts w:ascii="Times New Roman" w:hAnsi="Times New Roman" w:cs="Times New Roman"/>
        </w:rPr>
        <w:t>recommends</w:t>
      </w:r>
      <w:r w:rsidRPr="00163FBA">
        <w:rPr>
          <w:rFonts w:ascii="Times New Roman" w:hAnsi="Times New Roman" w:cs="Times New Roman"/>
        </w:rPr>
        <w:t xml:space="preserve"> that the Commission clarify that non-professional small retirement plan fiduciaries are the “legal representatives” of retirement plan participants as contemplated under Regulation Best Interest.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b/>
          <w:bCs/>
          <w:color w:val="2E5198"/>
        </w:rPr>
      </w:pPr>
      <w:r w:rsidRPr="00163FBA">
        <w:rPr>
          <w:rFonts w:ascii="Times New Roman" w:hAnsi="Times New Roman" w:cs="Times New Roman"/>
          <w:b/>
          <w:bCs/>
          <w:color w:val="2E5198"/>
        </w:rPr>
        <w:t>Small Retir</w:t>
      </w:r>
      <w:r w:rsidR="00163FBA" w:rsidRPr="00163FBA">
        <w:rPr>
          <w:rFonts w:ascii="Times New Roman" w:hAnsi="Times New Roman" w:cs="Times New Roman"/>
          <w:b/>
          <w:bCs/>
          <w:color w:val="2E5198"/>
        </w:rPr>
        <w:t>ement Plan as a Retail Customer</w:t>
      </w:r>
    </w:p>
    <w:p w:rsidR="000E4B55"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The question of where the Commission draws the line on what it considers </w:t>
      </w:r>
      <w:r w:rsidR="007329DD">
        <w:rPr>
          <w:rFonts w:ascii="Times New Roman" w:hAnsi="Times New Roman" w:cs="Times New Roman"/>
        </w:rPr>
        <w:t xml:space="preserve">to be </w:t>
      </w:r>
      <w:r w:rsidRPr="00163FBA">
        <w:rPr>
          <w:rFonts w:ascii="Times New Roman" w:hAnsi="Times New Roman" w:cs="Times New Roman"/>
        </w:rPr>
        <w:t>a retail investor in the context of a small plan fiduciary is important. To answer this question, we ask the Commission to</w:t>
      </w:r>
      <w:r w:rsidR="009D11B4" w:rsidRPr="00163FBA">
        <w:rPr>
          <w:rFonts w:ascii="Times New Roman" w:hAnsi="Times New Roman" w:cs="Times New Roman"/>
        </w:rPr>
        <w:t xml:space="preserve"> </w:t>
      </w:r>
      <w:r w:rsidRPr="00163FBA">
        <w:rPr>
          <w:rFonts w:ascii="Times New Roman" w:hAnsi="Times New Roman" w:cs="Times New Roman"/>
        </w:rPr>
        <w:t xml:space="preserve">consider the following precedent. </w:t>
      </w:r>
      <w:r w:rsidR="009D11B4" w:rsidRPr="00163FBA">
        <w:rPr>
          <w:rFonts w:ascii="Times New Roman" w:hAnsi="Times New Roman" w:cs="Times New Roman"/>
        </w:rPr>
        <w:t>T</w:t>
      </w:r>
      <w:r w:rsidRPr="00163FBA">
        <w:rPr>
          <w:rFonts w:ascii="Times New Roman" w:hAnsi="Times New Roman" w:cs="Times New Roman"/>
        </w:rPr>
        <w:t>he terms-of-art “institutional account” and “institutional investor” under FINRA Rules 2111 and 2210, respectively, are informative for purposes of defining “small” plan fiduciaries. FINRA’s suitability rule (i.e., rule 2111) defines “institutional account” by reference to FINRA’s "books and records" rule (i.e., rule 4512(c)) which sets the threshold for institutional status at $50 million. At a</w:t>
      </w:r>
      <w:r w:rsidR="008D52D4" w:rsidRPr="00163FBA">
        <w:rPr>
          <w:rFonts w:ascii="Times New Roman" w:hAnsi="Times New Roman" w:cs="Times New Roman"/>
        </w:rPr>
        <w:t xml:space="preserve">n asset </w:t>
      </w:r>
      <w:r w:rsidRPr="00163FBA">
        <w:rPr>
          <w:rFonts w:ascii="Times New Roman" w:hAnsi="Times New Roman" w:cs="Times New Roman"/>
        </w:rPr>
        <w:t>threshold</w:t>
      </w:r>
      <w:r w:rsidR="008D52D4" w:rsidRPr="00163FBA">
        <w:rPr>
          <w:rFonts w:ascii="Times New Roman" w:hAnsi="Times New Roman" w:cs="Times New Roman"/>
        </w:rPr>
        <w:t xml:space="preserve"> of  $50 million</w:t>
      </w:r>
      <w:r w:rsidR="007329DD">
        <w:rPr>
          <w:rFonts w:ascii="Times New Roman" w:hAnsi="Times New Roman" w:cs="Times New Roman"/>
        </w:rPr>
        <w:t xml:space="preserve"> or less</w:t>
      </w:r>
      <w:r w:rsidR="008D52D4" w:rsidRPr="00163FBA">
        <w:rPr>
          <w:rFonts w:ascii="Times New Roman" w:hAnsi="Times New Roman" w:cs="Times New Roman"/>
        </w:rPr>
        <w:t xml:space="preserve">, </w:t>
      </w:r>
      <w:r w:rsidR="00821AA4" w:rsidRPr="00163FBA">
        <w:rPr>
          <w:rFonts w:ascii="Times New Roman" w:hAnsi="Times New Roman" w:cs="Times New Roman"/>
        </w:rPr>
        <w:t xml:space="preserve">98.5 </w:t>
      </w:r>
      <w:r w:rsidRPr="00163FBA">
        <w:rPr>
          <w:rFonts w:ascii="Times New Roman" w:hAnsi="Times New Roman" w:cs="Times New Roman"/>
        </w:rPr>
        <w:t xml:space="preserve">percent of defined contribution </w:t>
      </w:r>
      <w:r w:rsidR="00821AA4" w:rsidRPr="00163FBA">
        <w:rPr>
          <w:rFonts w:ascii="Times New Roman" w:hAnsi="Times New Roman" w:cs="Times New Roman"/>
        </w:rPr>
        <w:t xml:space="preserve">plans reporting assets </w:t>
      </w:r>
      <w:r w:rsidRPr="00163FBA">
        <w:rPr>
          <w:rFonts w:ascii="Times New Roman" w:hAnsi="Times New Roman" w:cs="Times New Roman"/>
        </w:rPr>
        <w:t>would potentially receive the protections of Regulation Best Interest if they do not have a professional fiduciary</w:t>
      </w:r>
      <w:r w:rsidR="00F63AE5" w:rsidRPr="00163FBA">
        <w:rPr>
          <w:rFonts w:ascii="Times New Roman" w:hAnsi="Times New Roman" w:cs="Times New Roman"/>
        </w:rPr>
        <w:t>.</w:t>
      </w:r>
      <w:r w:rsidR="00F63AE5" w:rsidRPr="00163FBA">
        <w:rPr>
          <w:rStyle w:val="FootnoteReference"/>
          <w:rFonts w:ascii="Times New Roman" w:hAnsi="Times New Roman" w:cs="Times New Roman"/>
        </w:rPr>
        <w:footnoteReference w:id="13"/>
      </w:r>
      <w:r w:rsidRPr="00163FBA">
        <w:rPr>
          <w:rFonts w:ascii="Times New Roman" w:hAnsi="Times New Roman" w:cs="Times New Roman"/>
        </w:rPr>
        <w:t xml:space="preserve"> </w:t>
      </w:r>
      <w:r w:rsidR="009D11B4" w:rsidRPr="00163FBA">
        <w:rPr>
          <w:rFonts w:ascii="Times New Roman" w:hAnsi="Times New Roman" w:cs="Times New Roman"/>
        </w:rPr>
        <w:t xml:space="preserve">The </w:t>
      </w:r>
      <w:r w:rsidRPr="00163FBA">
        <w:rPr>
          <w:rFonts w:ascii="Times New Roman" w:hAnsi="Times New Roman" w:cs="Times New Roman"/>
        </w:rPr>
        <w:t>Department of Labor similarly looked to the $50 million of plan assets as the threshold in applying (it’s now vacated) fiduciary standard of care for broker dealers who provide investment recommendations to small retirement plans.</w:t>
      </w:r>
      <w:r w:rsidR="003307CC" w:rsidRPr="00163FBA">
        <w:rPr>
          <w:rStyle w:val="FootnoteReference"/>
          <w:rFonts w:ascii="Times New Roman" w:hAnsi="Times New Roman" w:cs="Times New Roman"/>
        </w:rPr>
        <w:footnoteReference w:id="14"/>
      </w:r>
      <w:r w:rsidRPr="00163FBA">
        <w:rPr>
          <w:rFonts w:ascii="Times New Roman" w:hAnsi="Times New Roman" w:cs="Times New Roman"/>
        </w:rPr>
        <w:t xml:space="preserve"> </w:t>
      </w:r>
    </w:p>
    <w:p w:rsidR="007329DD" w:rsidRDefault="007329DD" w:rsidP="00B33683">
      <w:pPr>
        <w:autoSpaceDE w:val="0"/>
        <w:autoSpaceDN w:val="0"/>
        <w:adjustRightInd w:val="0"/>
        <w:rPr>
          <w:rFonts w:ascii="Times New Roman" w:hAnsi="Times New Roman" w:cs="Times New Roman"/>
        </w:rPr>
      </w:pPr>
    </w:p>
    <w:p w:rsidR="007329DD" w:rsidRPr="00163FBA" w:rsidRDefault="007329DD"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As an alternative, the Commission could choose to apply </w:t>
      </w:r>
      <w:r>
        <w:rPr>
          <w:rFonts w:ascii="Times New Roman" w:hAnsi="Times New Roman" w:cs="Times New Roman"/>
        </w:rPr>
        <w:t>a lower threshold</w:t>
      </w:r>
      <w:r w:rsidRPr="00163FBA">
        <w:rPr>
          <w:rFonts w:ascii="Times New Roman" w:hAnsi="Times New Roman" w:cs="Times New Roman"/>
        </w:rPr>
        <w:t xml:space="preserve">. </w:t>
      </w:r>
      <w:r>
        <w:rPr>
          <w:rFonts w:ascii="Times New Roman" w:hAnsi="Times New Roman" w:cs="Times New Roman"/>
        </w:rPr>
        <w:t>For example, a</w:t>
      </w:r>
      <w:r w:rsidRPr="00163FBA">
        <w:rPr>
          <w:rFonts w:ascii="Times New Roman" w:hAnsi="Times New Roman" w:cs="Times New Roman"/>
        </w:rPr>
        <w:t>t an asset threshold of $10 million</w:t>
      </w:r>
      <w:r>
        <w:rPr>
          <w:rFonts w:ascii="Times New Roman" w:hAnsi="Times New Roman" w:cs="Times New Roman"/>
        </w:rPr>
        <w:t xml:space="preserve"> or less,</w:t>
      </w:r>
      <w:r w:rsidRPr="00163FBA">
        <w:rPr>
          <w:rFonts w:ascii="Times New Roman" w:hAnsi="Times New Roman" w:cs="Times New Roman"/>
        </w:rPr>
        <w:t xml:space="preserve"> 92.5 percent of plans could potentially receive the protections of Regulation Best Interest if they do not have a professional fiduciary.</w:t>
      </w:r>
      <w:r w:rsidRPr="00163FBA">
        <w:rPr>
          <w:rStyle w:val="FootnoteReference"/>
          <w:rFonts w:ascii="Times New Roman" w:hAnsi="Times New Roman" w:cs="Times New Roman"/>
        </w:rPr>
        <w:footnoteReference w:id="15"/>
      </w: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9D11B4"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Furthermore, </w:t>
      </w:r>
      <w:r w:rsidR="000E4B55" w:rsidRPr="00163FBA">
        <w:rPr>
          <w:rFonts w:ascii="Times New Roman" w:hAnsi="Times New Roman" w:cs="Times New Roman"/>
        </w:rPr>
        <w:t>the Commission may want to consider the employee-based definition of FINRA Rule 2210 governing institutional communications. Under that rule, “institutional investor” includes both:</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(1) an employee benefit plan, or multiple employee benefit plans offered to employees of the same employer, that meet the requirements of Section 403(b) or Section 457 of the Internal Revenue Code and in the aggregate have at least 100 participants, but does not include any participant of such plans; and</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(2) a qualified plan, as defined in Section 3(a)(12)(C) of the Exchange Act, or multiple qualified plans offered to employees of the same employer, that in the aggregate have at least 100 participants, but does not include any participant of such plans.</w:t>
      </w:r>
    </w:p>
    <w:p w:rsidR="000E4B55" w:rsidRPr="00163FBA" w:rsidRDefault="000E4B55" w:rsidP="00B33683">
      <w:pPr>
        <w:autoSpaceDE w:val="0"/>
        <w:autoSpaceDN w:val="0"/>
        <w:adjustRightInd w:val="0"/>
        <w:rPr>
          <w:rFonts w:ascii="Times New Roman" w:hAnsi="Times New Roman" w:cs="Times New Roman"/>
        </w:rPr>
      </w:pPr>
    </w:p>
    <w:p w:rsidR="009D11B4"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The ne</w:t>
      </w:r>
      <w:r w:rsidR="003D4993">
        <w:rPr>
          <w:rFonts w:ascii="Times New Roman" w:hAnsi="Times New Roman" w:cs="Times New Roman"/>
        </w:rPr>
        <w:t>xt question centers on when</w:t>
      </w:r>
      <w:r w:rsidRPr="00163FBA">
        <w:rPr>
          <w:rFonts w:ascii="Times New Roman" w:hAnsi="Times New Roman" w:cs="Times New Roman"/>
        </w:rPr>
        <w:t xml:space="preserve"> a broker</w:t>
      </w:r>
      <w:r w:rsidR="009D11B4" w:rsidRPr="00163FBA">
        <w:rPr>
          <w:rFonts w:ascii="Times New Roman" w:hAnsi="Times New Roman" w:cs="Times New Roman"/>
        </w:rPr>
        <w:t xml:space="preserve"> </w:t>
      </w:r>
      <w:r w:rsidRPr="00163FBA">
        <w:rPr>
          <w:rFonts w:ascii="Times New Roman" w:hAnsi="Times New Roman" w:cs="Times New Roman"/>
        </w:rPr>
        <w:t>provide</w:t>
      </w:r>
      <w:r w:rsidR="003D4993">
        <w:rPr>
          <w:rFonts w:ascii="Times New Roman" w:hAnsi="Times New Roman" w:cs="Times New Roman"/>
        </w:rPr>
        <w:t>s</w:t>
      </w:r>
      <w:r w:rsidRPr="00163FBA">
        <w:rPr>
          <w:rFonts w:ascii="Times New Roman" w:hAnsi="Times New Roman" w:cs="Times New Roman"/>
        </w:rPr>
        <w:t xml:space="preserve"> “recommendations” to retirement plan fiduciaries. The Department of Labor, much like the Commission, has looked to FINRA guidance in determining the scope of the term “recommendation.” The term is not explicitly defined by the FINRA rules and is instead a case-by-case determination. The DOL, in looking to FINRA guidance, has found that actions like offering an investment selection menu to plan fiduciaries constitutes a “recommendation” (although it is unlikely to constitute investment advice under ERISA’s 5-part test, hence the gap). When brokers offer a single group annuity, managed account and/or target date fund series for consideration by a retirement plan fiduciary, they are clearly providing an investment recommendation but </w:t>
      </w:r>
      <w:r w:rsidR="007329DD">
        <w:rPr>
          <w:rFonts w:ascii="Times New Roman" w:hAnsi="Times New Roman" w:cs="Times New Roman"/>
        </w:rPr>
        <w:t xml:space="preserve">are not likely to fit within the definition of </w:t>
      </w:r>
      <w:r w:rsidRPr="00163FBA">
        <w:rPr>
          <w:rFonts w:ascii="Times New Roman" w:hAnsi="Times New Roman" w:cs="Times New Roman"/>
        </w:rPr>
        <w:t xml:space="preserve">an investment fiduciary under ERISA. Investment firms have devised sales strategies and protocols to carefully skirt ERISA’s five-part fiduciary test while offering investment recommendations to </w:t>
      </w:r>
      <w:r w:rsidR="007329DD">
        <w:rPr>
          <w:rFonts w:ascii="Times New Roman" w:hAnsi="Times New Roman" w:cs="Times New Roman"/>
        </w:rPr>
        <w:t>the</w:t>
      </w:r>
      <w:r w:rsidRPr="00163FBA">
        <w:rPr>
          <w:rFonts w:ascii="Times New Roman" w:hAnsi="Times New Roman" w:cs="Times New Roman"/>
        </w:rPr>
        <w:t xml:space="preserve"> sponsors</w:t>
      </w:r>
      <w:r w:rsidR="007329DD">
        <w:rPr>
          <w:rFonts w:ascii="Times New Roman" w:hAnsi="Times New Roman" w:cs="Times New Roman"/>
        </w:rPr>
        <w:t xml:space="preserve"> of small retirement plans</w:t>
      </w:r>
      <w:r w:rsidRPr="00163FBA">
        <w:rPr>
          <w:rFonts w:ascii="Times New Roman" w:hAnsi="Times New Roman" w:cs="Times New Roman"/>
        </w:rPr>
        <w:t xml:space="preserve">. </w:t>
      </w:r>
    </w:p>
    <w:p w:rsidR="009D11B4" w:rsidRPr="00163FBA" w:rsidRDefault="009D11B4"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The five</w:t>
      </w:r>
      <w:r w:rsidRPr="00163FBA">
        <w:rPr>
          <w:rFonts w:ascii="Cambria Math" w:hAnsi="Cambria Math" w:cs="Cambria Math"/>
        </w:rPr>
        <w:t>‐</w:t>
      </w:r>
      <w:r w:rsidRPr="00163FBA">
        <w:rPr>
          <w:rFonts w:ascii="Times New Roman" w:hAnsi="Times New Roman" w:cs="Times New Roman"/>
        </w:rPr>
        <w:t xml:space="preserve">part test </w:t>
      </w:r>
      <w:r w:rsidR="009D11B4" w:rsidRPr="00163FBA">
        <w:rPr>
          <w:rFonts w:ascii="Times New Roman" w:hAnsi="Times New Roman" w:cs="Times New Roman"/>
        </w:rPr>
        <w:t xml:space="preserve">in ERISA </w:t>
      </w:r>
      <w:r w:rsidR="0073062D">
        <w:rPr>
          <w:rFonts w:ascii="Times New Roman" w:hAnsi="Times New Roman" w:cs="Times New Roman"/>
        </w:rPr>
        <w:t>defines an investment fiduciary as a person</w:t>
      </w:r>
      <w:r w:rsidRPr="00163FBA">
        <w:rPr>
          <w:rFonts w:ascii="Times New Roman" w:hAnsi="Times New Roman" w:cs="Times New Roman"/>
        </w:rPr>
        <w:t xml:space="preserve"> who, for compensation </w:t>
      </w:r>
      <w:r w:rsidR="0073062D">
        <w:rPr>
          <w:rFonts w:ascii="Times New Roman" w:hAnsi="Times New Roman" w:cs="Times New Roman"/>
        </w:rPr>
        <w:t>(i)</w:t>
      </w:r>
      <w:r w:rsidR="00B376E9" w:rsidRPr="00163FBA">
        <w:rPr>
          <w:rFonts w:ascii="Times New Roman" w:hAnsi="Times New Roman" w:cs="Times New Roman"/>
        </w:rPr>
        <w:t xml:space="preserve"> r</w:t>
      </w:r>
      <w:r w:rsidRPr="00163FBA">
        <w:rPr>
          <w:rFonts w:ascii="Times New Roman" w:hAnsi="Times New Roman" w:cs="Times New Roman"/>
        </w:rPr>
        <w:t xml:space="preserve">enders advice as to the value of securities or other property; </w:t>
      </w:r>
      <w:r w:rsidR="0073062D">
        <w:rPr>
          <w:rFonts w:ascii="Times New Roman" w:hAnsi="Times New Roman" w:cs="Times New Roman"/>
        </w:rPr>
        <w:t>(ii)</w:t>
      </w:r>
      <w:r w:rsidRPr="00163FBA">
        <w:rPr>
          <w:rFonts w:ascii="Times New Roman" w:hAnsi="Times New Roman" w:cs="Times New Roman"/>
        </w:rPr>
        <w:t xml:space="preserve"> </w:t>
      </w:r>
      <w:r w:rsidR="00B376E9" w:rsidRPr="00163FBA">
        <w:rPr>
          <w:rFonts w:ascii="Times New Roman" w:hAnsi="Times New Roman" w:cs="Times New Roman"/>
        </w:rPr>
        <w:t>o</w:t>
      </w:r>
      <w:r w:rsidRPr="00163FBA">
        <w:rPr>
          <w:rFonts w:ascii="Times New Roman" w:hAnsi="Times New Roman" w:cs="Times New Roman"/>
        </w:rPr>
        <w:t xml:space="preserve">n a regular basis; </w:t>
      </w:r>
      <w:r w:rsidR="0073062D">
        <w:rPr>
          <w:rFonts w:ascii="Times New Roman" w:hAnsi="Times New Roman" w:cs="Times New Roman"/>
        </w:rPr>
        <w:t>(iii)</w:t>
      </w:r>
      <w:r w:rsidRPr="00163FBA">
        <w:rPr>
          <w:rFonts w:ascii="Times New Roman" w:hAnsi="Times New Roman" w:cs="Times New Roman"/>
        </w:rPr>
        <w:t xml:space="preserve"> </w:t>
      </w:r>
      <w:r w:rsidR="004A4EF3" w:rsidRPr="00163FBA">
        <w:rPr>
          <w:rFonts w:ascii="Times New Roman" w:hAnsi="Times New Roman" w:cs="Times New Roman"/>
        </w:rPr>
        <w:t>p</w:t>
      </w:r>
      <w:r w:rsidRPr="00163FBA">
        <w:rPr>
          <w:rFonts w:ascii="Times New Roman" w:hAnsi="Times New Roman" w:cs="Times New Roman"/>
        </w:rPr>
        <w:t xml:space="preserve">ursuant to a mutual agreement; </w:t>
      </w:r>
      <w:r w:rsidR="0073062D">
        <w:rPr>
          <w:rFonts w:ascii="Times New Roman" w:hAnsi="Times New Roman" w:cs="Times New Roman"/>
        </w:rPr>
        <w:t>(iv)</w:t>
      </w:r>
      <w:r w:rsidRPr="00163FBA">
        <w:rPr>
          <w:rFonts w:ascii="Times New Roman" w:hAnsi="Times New Roman" w:cs="Times New Roman"/>
        </w:rPr>
        <w:t xml:space="preserve"> </w:t>
      </w:r>
      <w:r w:rsidR="004A4EF3" w:rsidRPr="00163FBA">
        <w:rPr>
          <w:rFonts w:ascii="Times New Roman" w:hAnsi="Times New Roman" w:cs="Times New Roman"/>
        </w:rPr>
        <w:t>t</w:t>
      </w:r>
      <w:r w:rsidRPr="00163FBA">
        <w:rPr>
          <w:rFonts w:ascii="Times New Roman" w:hAnsi="Times New Roman" w:cs="Times New Roman"/>
        </w:rPr>
        <w:t xml:space="preserve">he advice serves as the primary basis for investment decisions; and </w:t>
      </w:r>
      <w:r w:rsidR="0073062D">
        <w:rPr>
          <w:rFonts w:ascii="Times New Roman" w:hAnsi="Times New Roman" w:cs="Times New Roman"/>
        </w:rPr>
        <w:t>(v)</w:t>
      </w:r>
      <w:r w:rsidRPr="00163FBA">
        <w:rPr>
          <w:rFonts w:ascii="Times New Roman" w:hAnsi="Times New Roman" w:cs="Times New Roman"/>
        </w:rPr>
        <w:t xml:space="preserve"> </w:t>
      </w:r>
      <w:r w:rsidR="004A4EF3" w:rsidRPr="00163FBA">
        <w:rPr>
          <w:rFonts w:ascii="Times New Roman" w:hAnsi="Times New Roman" w:cs="Times New Roman"/>
        </w:rPr>
        <w:t>t</w:t>
      </w:r>
      <w:r w:rsidRPr="00163FBA">
        <w:rPr>
          <w:rFonts w:ascii="Times New Roman" w:hAnsi="Times New Roman" w:cs="Times New Roman"/>
        </w:rPr>
        <w:t xml:space="preserve">he advice is individualized. All five prongs of the test must be met to be deemed </w:t>
      </w:r>
      <w:r w:rsidR="004A4EF3" w:rsidRPr="00163FBA">
        <w:rPr>
          <w:rFonts w:ascii="Times New Roman" w:hAnsi="Times New Roman" w:cs="Times New Roman"/>
        </w:rPr>
        <w:t xml:space="preserve">a </w:t>
      </w:r>
      <w:r w:rsidRPr="00163FBA">
        <w:rPr>
          <w:rFonts w:ascii="Times New Roman" w:hAnsi="Times New Roman" w:cs="Times New Roman"/>
        </w:rPr>
        <w:t>3(21) investment fiduciary under ERISA.</w:t>
      </w:r>
    </w:p>
    <w:p w:rsidR="000E4B55" w:rsidRPr="00163FBA" w:rsidRDefault="000E4B55" w:rsidP="00B33683">
      <w:pPr>
        <w:autoSpaceDE w:val="0"/>
        <w:autoSpaceDN w:val="0"/>
        <w:adjustRightInd w:val="0"/>
        <w:rPr>
          <w:rFonts w:ascii="Times New Roman" w:hAnsi="Times New Roman" w:cs="Times New Roman"/>
        </w:rPr>
      </w:pP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The next question involves how the concept of a “retail customer profile” may apply in the plan fiduciary context? ERISA plan fiduciaries are subject to a prudence obligation when selecting plan investments. Brokers advise plan fiduciaries as to the appropriate investment strategy and individual investments that will satisfy that strategy. </w:t>
      </w:r>
      <w:r w:rsidR="00E075F1" w:rsidRPr="00163FBA">
        <w:rPr>
          <w:rFonts w:ascii="Times New Roman" w:hAnsi="Times New Roman" w:cs="Times New Roman"/>
        </w:rPr>
        <w:t xml:space="preserve">As is most often the case, the plan is an individual account plan offering participants' the opportunity to direct their investments, picking from a menu selected by the plan fiduciaries. </w:t>
      </w:r>
      <w:r w:rsidRPr="00163FBA">
        <w:rPr>
          <w:rFonts w:ascii="Times New Roman" w:hAnsi="Times New Roman" w:cs="Times New Roman"/>
        </w:rPr>
        <w:t>Under a participant- directed individual account plan, ERISA Section 404(c) requires a small plan fiduciary to provide participants with a broad range of investment opportunities each of which is diversified and has materially different risk and return characteristics</w:t>
      </w:r>
      <w:r w:rsidR="00843353">
        <w:rPr>
          <w:rFonts w:ascii="Times New Roman" w:hAnsi="Times New Roman" w:cs="Times New Roman"/>
        </w:rPr>
        <w:t xml:space="preserve">. </w:t>
      </w:r>
      <w:r w:rsidR="0073062D">
        <w:rPr>
          <w:rFonts w:ascii="Times New Roman" w:hAnsi="Times New Roman" w:cs="Times New Roman"/>
        </w:rPr>
        <w:t>The small plan fiduciary must also consider the fees associated with the investments that will be offered</w:t>
      </w:r>
      <w:r w:rsidR="00843353">
        <w:rPr>
          <w:rFonts w:ascii="Times New Roman" w:hAnsi="Times New Roman" w:cs="Times New Roman"/>
        </w:rPr>
        <w:t xml:space="preserve">. </w:t>
      </w:r>
      <w:r w:rsidRPr="00163FBA">
        <w:rPr>
          <w:rFonts w:ascii="Times New Roman" w:hAnsi="Times New Roman" w:cs="Times New Roman"/>
        </w:rPr>
        <w:t xml:space="preserve">Brokers play a critical role in helping these plan fiduciaries provide investment options that </w:t>
      </w:r>
      <w:r w:rsidR="00424B95" w:rsidRPr="00163FBA">
        <w:rPr>
          <w:rFonts w:ascii="Times New Roman" w:hAnsi="Times New Roman" w:cs="Times New Roman"/>
        </w:rPr>
        <w:t>are</w:t>
      </w:r>
      <w:r w:rsidRPr="00163FBA">
        <w:rPr>
          <w:rFonts w:ascii="Times New Roman" w:hAnsi="Times New Roman" w:cs="Times New Roman"/>
        </w:rPr>
        <w:t xml:space="preserve"> suitable for plan participants who</w:t>
      </w:r>
      <w:r w:rsidR="00424B95" w:rsidRPr="00163FBA">
        <w:rPr>
          <w:rFonts w:ascii="Times New Roman" w:hAnsi="Times New Roman" w:cs="Times New Roman"/>
        </w:rPr>
        <w:t xml:space="preserve"> will</w:t>
      </w:r>
      <w:r w:rsidRPr="00163FBA">
        <w:rPr>
          <w:rFonts w:ascii="Times New Roman" w:hAnsi="Times New Roman" w:cs="Times New Roman"/>
        </w:rPr>
        <w:t xml:space="preserve"> invest in one or more of these options</w:t>
      </w:r>
      <w:r w:rsidR="00843353">
        <w:rPr>
          <w:rFonts w:ascii="Times New Roman" w:hAnsi="Times New Roman" w:cs="Times New Roman"/>
        </w:rPr>
        <w:t xml:space="preserve"> on the investment menu</w:t>
      </w:r>
      <w:r w:rsidRPr="00163FBA">
        <w:rPr>
          <w:rFonts w:ascii="Times New Roman" w:hAnsi="Times New Roman" w:cs="Times New Roman"/>
        </w:rPr>
        <w:t>.</w:t>
      </w:r>
    </w:p>
    <w:p w:rsidR="00B814E5" w:rsidRPr="00163FBA" w:rsidRDefault="00B814E5" w:rsidP="00B33683">
      <w:pPr>
        <w:autoSpaceDE w:val="0"/>
        <w:autoSpaceDN w:val="0"/>
        <w:adjustRightInd w:val="0"/>
        <w:rPr>
          <w:rFonts w:ascii="Times New Roman" w:hAnsi="Times New Roman" w:cs="Times New Roman"/>
        </w:rPr>
      </w:pPr>
    </w:p>
    <w:p w:rsidR="00485F8B"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Additionally, ERISA plan fiduciaries are responsible for selecting qualified default investment alternatives (QDIAs) under a participant-directed individual account plans when participants otherwise who fail to make a</w:t>
      </w:r>
      <w:r w:rsidR="00B814E5" w:rsidRPr="00163FBA">
        <w:rPr>
          <w:rFonts w:ascii="Times New Roman" w:hAnsi="Times New Roman" w:cs="Times New Roman"/>
        </w:rPr>
        <w:t>n</w:t>
      </w:r>
      <w:r w:rsidRPr="00163FBA">
        <w:rPr>
          <w:rFonts w:ascii="Times New Roman" w:hAnsi="Times New Roman" w:cs="Times New Roman"/>
        </w:rPr>
        <w:t xml:space="preserve"> investment election. Target date funds (TDFs) are typically used for this purpose </w:t>
      </w:r>
      <w:r w:rsidR="00B814E5" w:rsidRPr="00163FBA">
        <w:rPr>
          <w:rFonts w:ascii="Times New Roman" w:hAnsi="Times New Roman" w:cs="Times New Roman"/>
        </w:rPr>
        <w:t xml:space="preserve">and </w:t>
      </w:r>
      <w:r w:rsidRPr="00163FBA">
        <w:rPr>
          <w:rFonts w:ascii="Times New Roman" w:hAnsi="Times New Roman" w:cs="Times New Roman"/>
        </w:rPr>
        <w:t>fit within DOL regulatory parameters. TDFs vary considerably with respect to providers, strategies (active vs. passive for example), glide paths and investment-related fees and these differences can have a significant effect on a participant’s investment performance. A prudent recommendation of a TDF requires a risk tolerance assessment particular to a given participant’s age (or alternatively, a target level of risk appropriate for participants of the plan taken as a whole). As such, the broker’s recommendation in meeting the needs of this profile is critically important to a small plan fiduciary.</w:t>
      </w:r>
    </w:p>
    <w:p w:rsidR="00485F8B" w:rsidRPr="00163FBA" w:rsidRDefault="00485F8B" w:rsidP="00B33683">
      <w:pPr>
        <w:autoSpaceDE w:val="0"/>
        <w:autoSpaceDN w:val="0"/>
        <w:adjustRightInd w:val="0"/>
        <w:rPr>
          <w:rFonts w:ascii="Times New Roman" w:hAnsi="Times New Roman" w:cs="Times New Roman"/>
          <w:b/>
          <w:bCs/>
        </w:rPr>
      </w:pPr>
    </w:p>
    <w:p w:rsidR="008D14B0" w:rsidRDefault="008D14B0" w:rsidP="00B33683">
      <w:pPr>
        <w:autoSpaceDE w:val="0"/>
        <w:autoSpaceDN w:val="0"/>
        <w:adjustRightInd w:val="0"/>
        <w:rPr>
          <w:rFonts w:ascii="Times New Roman" w:hAnsi="Times New Roman" w:cs="Times New Roman"/>
          <w:b/>
          <w:bCs/>
          <w:color w:val="2E5198"/>
        </w:rPr>
      </w:pPr>
    </w:p>
    <w:p w:rsidR="000E4B55" w:rsidRPr="00163FBA" w:rsidRDefault="000E4B55" w:rsidP="00B33683">
      <w:pPr>
        <w:autoSpaceDE w:val="0"/>
        <w:autoSpaceDN w:val="0"/>
        <w:adjustRightInd w:val="0"/>
        <w:rPr>
          <w:rFonts w:ascii="Times New Roman" w:hAnsi="Times New Roman" w:cs="Times New Roman"/>
          <w:color w:val="2E5198"/>
        </w:rPr>
      </w:pPr>
      <w:r w:rsidRPr="00163FBA">
        <w:rPr>
          <w:rFonts w:ascii="Times New Roman" w:hAnsi="Times New Roman" w:cs="Times New Roman"/>
          <w:b/>
          <w:bCs/>
          <w:color w:val="2E5198"/>
        </w:rPr>
        <w:t xml:space="preserve">Conclusion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ARA appreciates the ongoing opportunity to work with the Commission on th</w:t>
      </w:r>
      <w:r w:rsidR="00485F8B" w:rsidRPr="00163FBA">
        <w:rPr>
          <w:rFonts w:ascii="Times New Roman" w:hAnsi="Times New Roman" w:cs="Times New Roman"/>
        </w:rPr>
        <w:t xml:space="preserve">is </w:t>
      </w:r>
      <w:r w:rsidRPr="00163FBA">
        <w:rPr>
          <w:rFonts w:ascii="Times New Roman" w:hAnsi="Times New Roman" w:cs="Times New Roman"/>
        </w:rPr>
        <w:t xml:space="preserve">issue of great importance to our diverse membership of retirement marketplace participants. We would welcome the opportunity to discuss these comments further with you. Please contact Doug Fisher, Director of Retirement Policy, at </w:t>
      </w:r>
      <w:hyperlink r:id="rId7" w:history="1">
        <w:r w:rsidRPr="00163FBA">
          <w:rPr>
            <w:rFonts w:ascii="Times New Roman" w:hAnsi="Times New Roman" w:cs="Times New Roman"/>
            <w:color w:val="0563C1"/>
            <w:u w:val="single" w:color="0563C1"/>
          </w:rPr>
          <w:t>DFisher@USARetirement.org</w:t>
        </w:r>
      </w:hyperlink>
      <w:r w:rsidRPr="00163FBA">
        <w:rPr>
          <w:rFonts w:ascii="Times New Roman" w:hAnsi="Times New Roman" w:cs="Times New Roman"/>
        </w:rPr>
        <w:t xml:space="preserve"> or Craig Hoffman,</w:t>
      </w:r>
      <w:r w:rsidR="00843353">
        <w:rPr>
          <w:rFonts w:ascii="Times New Roman" w:hAnsi="Times New Roman" w:cs="Times New Roman"/>
        </w:rPr>
        <w:t xml:space="preserve"> general Counsel at</w:t>
      </w:r>
      <w:r w:rsidRPr="00163FBA">
        <w:rPr>
          <w:rFonts w:ascii="Times New Roman" w:hAnsi="Times New Roman" w:cs="Times New Roman"/>
        </w:rPr>
        <w:t xml:space="preserve"> </w:t>
      </w:r>
      <w:hyperlink r:id="rId8" w:history="1">
        <w:r w:rsidRPr="00163FBA">
          <w:rPr>
            <w:rStyle w:val="Hyperlink"/>
            <w:rFonts w:ascii="Times New Roman" w:hAnsi="Times New Roman" w:cs="Times New Roman"/>
          </w:rPr>
          <w:t>choffman@USARetirement.org</w:t>
        </w:r>
      </w:hyperlink>
      <w:r w:rsidRPr="00163FBA">
        <w:rPr>
          <w:rFonts w:ascii="Times New Roman" w:hAnsi="Times New Roman" w:cs="Times New Roman"/>
        </w:rPr>
        <w:t xml:space="preserve"> if you have any questions. Thank you for your time and consideration.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Sincerely,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/s/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Brian H. Graff, Esq., APM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Executive Director/CEO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American Retirement Assoc.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/s/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Craig P. Hoffman, Esq., APM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General Counsel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American Retirement Assoc.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/s/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Doug Fisher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Director of Retirement Policy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American Retirement Assoc.  </w:t>
      </w:r>
    </w:p>
    <w:p w:rsidR="000E4B55" w:rsidRPr="00163FBA" w:rsidRDefault="000E4B55" w:rsidP="00B33683">
      <w:pPr>
        <w:autoSpaceDE w:val="0"/>
        <w:autoSpaceDN w:val="0"/>
        <w:adjustRightInd w:val="0"/>
        <w:rPr>
          <w:rFonts w:ascii="Times New Roman" w:hAnsi="Times New Roman" w:cs="Times New Roman"/>
        </w:rPr>
      </w:pPr>
      <w:r w:rsidRPr="00163FBA">
        <w:rPr>
          <w:rFonts w:ascii="Times New Roman" w:hAnsi="Times New Roman" w:cs="Times New Roman"/>
        </w:rPr>
        <w:t xml:space="preserve"> </w:t>
      </w:r>
    </w:p>
    <w:p w:rsidR="00DB4253" w:rsidRPr="00163FBA" w:rsidRDefault="00DD6959" w:rsidP="00B33683"/>
    <w:sectPr w:rsidR="00DB4253" w:rsidRPr="00163FBA" w:rsidSect="008D14B0">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59" w:rsidRDefault="00DD6959" w:rsidP="00393978">
      <w:r>
        <w:separator/>
      </w:r>
    </w:p>
  </w:endnote>
  <w:endnote w:type="continuationSeparator" w:id="0">
    <w:p w:rsidR="00DD6959" w:rsidRDefault="00DD6959" w:rsidP="0039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7532775"/>
      <w:docPartObj>
        <w:docPartGallery w:val="Page Numbers (Bottom of Page)"/>
        <w:docPartUnique/>
      </w:docPartObj>
    </w:sdtPr>
    <w:sdtEndPr>
      <w:rPr>
        <w:rStyle w:val="PageNumber"/>
      </w:rPr>
    </w:sdtEndPr>
    <w:sdtContent>
      <w:p w:rsidR="00B33683" w:rsidRDefault="00B33683" w:rsidP="009E7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3683" w:rsidRDefault="00B33683" w:rsidP="00B336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9814194"/>
      <w:docPartObj>
        <w:docPartGallery w:val="Page Numbers (Bottom of Page)"/>
        <w:docPartUnique/>
      </w:docPartObj>
    </w:sdtPr>
    <w:sdtEndPr>
      <w:rPr>
        <w:rStyle w:val="PageNumber"/>
      </w:rPr>
    </w:sdtEndPr>
    <w:sdtContent>
      <w:p w:rsidR="00B33683" w:rsidRDefault="00B33683" w:rsidP="009E7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3484">
          <w:rPr>
            <w:rStyle w:val="PageNumber"/>
            <w:noProof/>
          </w:rPr>
          <w:t>4</w:t>
        </w:r>
        <w:r>
          <w:rPr>
            <w:rStyle w:val="PageNumber"/>
          </w:rPr>
          <w:fldChar w:fldCharType="end"/>
        </w:r>
      </w:p>
    </w:sdtContent>
  </w:sdt>
  <w:p w:rsidR="00B33683" w:rsidRDefault="00B17132" w:rsidP="00B33683">
    <w:pPr>
      <w:pStyle w:val="Footer"/>
      <w:ind w:right="360"/>
    </w:pPr>
    <w:r>
      <w:rPr>
        <w:noProof/>
      </w:rPr>
      <w:drawing>
        <wp:anchor distT="0" distB="0" distL="114300" distR="114300" simplePos="0" relativeHeight="251663360" behindDoc="1" locked="0" layoutInCell="1" allowOverlap="1" wp14:anchorId="7D61445A" wp14:editId="719E44FA">
          <wp:simplePos x="0" y="0"/>
          <wp:positionH relativeFrom="column">
            <wp:posOffset>-895350</wp:posOffset>
          </wp:positionH>
          <wp:positionV relativeFrom="paragraph">
            <wp:posOffset>-723900</wp:posOffset>
          </wp:positionV>
          <wp:extent cx="7772400" cy="13823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32" w:rsidRDefault="00B17132">
    <w:pPr>
      <w:pStyle w:val="Footer"/>
    </w:pPr>
    <w:r>
      <w:rPr>
        <w:noProof/>
      </w:rPr>
      <w:drawing>
        <wp:anchor distT="0" distB="0" distL="114300" distR="114300" simplePos="0" relativeHeight="251661312" behindDoc="1" locked="0" layoutInCell="1" allowOverlap="1" wp14:anchorId="44CD4B79" wp14:editId="47984718">
          <wp:simplePos x="0" y="0"/>
          <wp:positionH relativeFrom="column">
            <wp:posOffset>-904875</wp:posOffset>
          </wp:positionH>
          <wp:positionV relativeFrom="paragraph">
            <wp:posOffset>-742950</wp:posOffset>
          </wp:positionV>
          <wp:extent cx="7772400" cy="138239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59" w:rsidRDefault="00DD6959" w:rsidP="00393978">
      <w:r>
        <w:separator/>
      </w:r>
    </w:p>
  </w:footnote>
  <w:footnote w:type="continuationSeparator" w:id="0">
    <w:p w:rsidR="00DD6959" w:rsidRDefault="00DD6959" w:rsidP="00393978">
      <w:r>
        <w:continuationSeparator/>
      </w:r>
    </w:p>
  </w:footnote>
  <w:footnote w:id="1">
    <w:p w:rsidR="00393978" w:rsidRPr="00163FBA" w:rsidRDefault="00393978" w:rsidP="00202D33">
      <w:pPr>
        <w:autoSpaceDE w:val="0"/>
        <w:autoSpaceDN w:val="0"/>
        <w:adjustRightInd w:val="0"/>
        <w:ind w:right="-2688"/>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Style w:val="FootnoteReference"/>
          <w:rFonts w:ascii="Times New Roman" w:hAnsi="Times New Roman" w:cs="Times New Roman"/>
          <w:sz w:val="18"/>
          <w:szCs w:val="18"/>
        </w:rPr>
        <w:t xml:space="preserve"> </w:t>
      </w:r>
      <w:r w:rsidR="003B01B8" w:rsidRPr="00163FBA">
        <w:rPr>
          <w:rFonts w:ascii="Times New Roman" w:hAnsi="Times New Roman" w:cs="Times New Roman"/>
          <w:sz w:val="18"/>
          <w:szCs w:val="18"/>
        </w:rPr>
        <w:t xml:space="preserve">Proposed Rule § (b)(1), 83 Fed. Reg. 21574, 21595–96 (May 9, 2018). </w:t>
      </w:r>
    </w:p>
  </w:footnote>
  <w:footnote w:id="2">
    <w:p w:rsidR="001F2537" w:rsidRPr="00163FBA" w:rsidRDefault="001F2537" w:rsidP="00202D33">
      <w:pPr>
        <w:autoSpaceDE w:val="0"/>
        <w:autoSpaceDN w:val="0"/>
        <w:adjustRightInd w:val="0"/>
        <w:ind w:right="-2688"/>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Style w:val="FootnoteReference"/>
          <w:rFonts w:ascii="Times New Roman" w:hAnsi="Times New Roman" w:cs="Times New Roman"/>
          <w:sz w:val="18"/>
          <w:szCs w:val="18"/>
        </w:rPr>
        <w:t xml:space="preserve">  </w:t>
      </w:r>
      <w:r w:rsidRPr="00163FBA">
        <w:rPr>
          <w:rFonts w:ascii="Times New Roman" w:hAnsi="Times New Roman" w:cs="Times New Roman"/>
          <w:sz w:val="18"/>
          <w:szCs w:val="18"/>
        </w:rPr>
        <w:t xml:space="preserve">Proposed Rule, 83 Fed. Reg. 21574, 21596 (May 9, 2018). </w:t>
      </w:r>
    </w:p>
  </w:footnote>
  <w:footnote w:id="3">
    <w:p w:rsidR="00202D33" w:rsidRPr="00163FBA" w:rsidRDefault="00202D33" w:rsidP="00AD59AF">
      <w:pPr>
        <w:autoSpaceDE w:val="0"/>
        <w:autoSpaceDN w:val="0"/>
        <w:adjustRightInd w:val="0"/>
        <w:ind w:right="-2688"/>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Fonts w:ascii="Times New Roman" w:hAnsi="Times New Roman" w:cs="Times New Roman"/>
          <w:sz w:val="18"/>
          <w:szCs w:val="18"/>
        </w:rPr>
        <w:t xml:space="preserve"> 83 Fed. Reg. 21574, 21598 (May 9, 2018). </w:t>
      </w:r>
    </w:p>
  </w:footnote>
  <w:footnote w:id="4">
    <w:p w:rsidR="00202D33" w:rsidRPr="00AD59AF" w:rsidRDefault="00202D33" w:rsidP="00AD59AF">
      <w:pPr>
        <w:autoSpaceDE w:val="0"/>
        <w:autoSpaceDN w:val="0"/>
        <w:adjustRightInd w:val="0"/>
        <w:ind w:right="-2688"/>
        <w:rPr>
          <w:rFonts w:ascii="Times New Roman" w:hAnsi="Times New Roman" w:cs="Times New Roman"/>
          <w:sz w:val="18"/>
          <w:szCs w:val="18"/>
        </w:rPr>
      </w:pPr>
      <w:r w:rsidRPr="005127CB">
        <w:rPr>
          <w:rFonts w:ascii="Times New Roman" w:hAnsi="Times New Roman" w:cs="Times New Roman"/>
          <w:sz w:val="18"/>
          <w:szCs w:val="18"/>
          <w:vertAlign w:val="superscript"/>
        </w:rPr>
        <w:footnoteRef/>
      </w:r>
      <w:r w:rsidRPr="00163FBA">
        <w:rPr>
          <w:rFonts w:ascii="Times New Roman" w:hAnsi="Times New Roman" w:cs="Times New Roman"/>
          <w:sz w:val="18"/>
          <w:szCs w:val="18"/>
        </w:rPr>
        <w:t xml:space="preserve"> See 83 Fed. Reg. 21574, 21603 (May 9, 2018).</w:t>
      </w:r>
    </w:p>
  </w:footnote>
  <w:footnote w:id="5">
    <w:p w:rsidR="00DC4C83" w:rsidRPr="00163FBA" w:rsidRDefault="00DC4C83" w:rsidP="008D14B0">
      <w:pPr>
        <w:autoSpaceDE w:val="0"/>
        <w:autoSpaceDN w:val="0"/>
        <w:adjustRightInd w:val="0"/>
        <w:rPr>
          <w:rFonts w:ascii="Times New Roman" w:hAnsi="Times New Roman" w:cs="Times New Roman"/>
          <w:sz w:val="18"/>
          <w:szCs w:val="18"/>
        </w:rPr>
      </w:pPr>
      <w:r w:rsidRPr="005127CB">
        <w:rPr>
          <w:rFonts w:ascii="Times New Roman" w:hAnsi="Times New Roman" w:cs="Times New Roman"/>
          <w:sz w:val="18"/>
          <w:szCs w:val="18"/>
          <w:vertAlign w:val="superscript"/>
        </w:rPr>
        <w:footnoteRef/>
      </w:r>
      <w:r w:rsidRPr="00163FBA">
        <w:rPr>
          <w:rFonts w:ascii="Times New Roman" w:hAnsi="Times New Roman" w:cs="Times New Roman"/>
          <w:sz w:val="18"/>
          <w:szCs w:val="18"/>
        </w:rPr>
        <w:t xml:space="preserve"> Investment Company Institute, 2018 Investment Company Factbook, 170, available at  https://www.ici.org/pdf/2018_factbook.pdf </w:t>
      </w:r>
    </w:p>
  </w:footnote>
  <w:footnote w:id="6">
    <w:p w:rsidR="00DC4C83" w:rsidRPr="00163FBA" w:rsidRDefault="00DC4C83" w:rsidP="008D14B0">
      <w:pPr>
        <w:autoSpaceDE w:val="0"/>
        <w:autoSpaceDN w:val="0"/>
        <w:adjustRightInd w:val="0"/>
        <w:rPr>
          <w:rFonts w:ascii="Times New Roman" w:hAnsi="Times New Roman" w:cs="Times New Roman"/>
          <w:sz w:val="18"/>
          <w:szCs w:val="18"/>
        </w:rPr>
      </w:pPr>
      <w:r w:rsidRPr="005127CB">
        <w:rPr>
          <w:rFonts w:ascii="Times New Roman" w:hAnsi="Times New Roman" w:cs="Times New Roman"/>
          <w:sz w:val="18"/>
          <w:szCs w:val="18"/>
          <w:vertAlign w:val="superscript"/>
        </w:rPr>
        <w:footnoteRef/>
      </w:r>
      <w:r w:rsidRPr="00163FBA">
        <w:rPr>
          <w:rFonts w:ascii="Times New Roman" w:hAnsi="Times New Roman" w:cs="Times New Roman"/>
          <w:sz w:val="18"/>
          <w:szCs w:val="18"/>
        </w:rPr>
        <w:t xml:space="preserve"> </w:t>
      </w:r>
      <w:r w:rsidR="008D14B0">
        <w:rPr>
          <w:rFonts w:ascii="Times New Roman" w:hAnsi="Times New Roman" w:cs="Times New Roman"/>
          <w:sz w:val="18"/>
          <w:szCs w:val="18"/>
        </w:rPr>
        <w:t>Id. at 171.</w:t>
      </w:r>
    </w:p>
  </w:footnote>
  <w:footnote w:id="7">
    <w:p w:rsidR="00B34128" w:rsidRPr="00163FBA" w:rsidRDefault="00B34128" w:rsidP="008D14B0">
      <w:pPr>
        <w:autoSpaceDE w:val="0"/>
        <w:autoSpaceDN w:val="0"/>
        <w:adjustRightInd w:val="0"/>
        <w:rPr>
          <w:rFonts w:ascii="Times New Roman" w:hAnsi="Times New Roman" w:cs="Times New Roman"/>
          <w:sz w:val="18"/>
          <w:szCs w:val="18"/>
        </w:rPr>
      </w:pPr>
    </w:p>
  </w:footnote>
  <w:footnote w:id="8">
    <w:p w:rsidR="00013E97" w:rsidRPr="00163FBA" w:rsidRDefault="00B34128" w:rsidP="008D14B0">
      <w:pPr>
        <w:autoSpaceDE w:val="0"/>
        <w:autoSpaceDN w:val="0"/>
        <w:adjustRightInd w:val="0"/>
        <w:rPr>
          <w:rFonts w:ascii="Times New Roman" w:hAnsi="Times New Roman" w:cs="Times New Roman"/>
          <w:sz w:val="18"/>
          <w:szCs w:val="18"/>
        </w:rPr>
      </w:pPr>
      <w:r w:rsidRPr="005127CB">
        <w:rPr>
          <w:rFonts w:ascii="Times New Roman" w:hAnsi="Times New Roman" w:cs="Times New Roman"/>
          <w:sz w:val="18"/>
          <w:szCs w:val="18"/>
          <w:vertAlign w:val="superscript"/>
        </w:rPr>
        <w:t>7</w:t>
      </w:r>
      <w:r w:rsidRPr="00163FBA">
        <w:rPr>
          <w:rFonts w:ascii="Times New Roman" w:hAnsi="Times New Roman" w:cs="Times New Roman"/>
          <w:sz w:val="18"/>
          <w:szCs w:val="18"/>
        </w:rPr>
        <w:t xml:space="preserve">Assuming a participant contributes $10,000 per year during a career of 35 years.  The Department of Labor’s regulatory impact analysis in connection with its fiduciary investment advice regulation estimated a cost associated with broker-dealers’ conflicted mutual fund recommendations of 50–100 basis points of annual underperformance, on average.  80 Fed. Reg. 21928, 21952 (Apr. 20, 2015); Department Labor, Regulating Advice Markets:  Regulatory Impact Analysis for Final Rule and Exemptions, 9 (Apr. 2016).  </w:t>
      </w:r>
    </w:p>
    <w:p w:rsidR="00B34128" w:rsidRPr="00163FBA" w:rsidRDefault="00013E97" w:rsidP="008D14B0">
      <w:pPr>
        <w:autoSpaceDE w:val="0"/>
        <w:autoSpaceDN w:val="0"/>
        <w:adjustRightInd w:val="0"/>
        <w:rPr>
          <w:rFonts w:ascii="Times New Roman" w:hAnsi="Times New Roman" w:cs="Times New Roman"/>
          <w:sz w:val="18"/>
          <w:szCs w:val="18"/>
        </w:rPr>
      </w:pPr>
      <w:r w:rsidRPr="005127CB">
        <w:rPr>
          <w:rFonts w:ascii="Times New Roman" w:hAnsi="Times New Roman" w:cs="Times New Roman"/>
          <w:sz w:val="18"/>
          <w:szCs w:val="18"/>
          <w:vertAlign w:val="superscript"/>
        </w:rPr>
        <w:footnoteRef/>
      </w:r>
      <w:r w:rsidRPr="00163FBA">
        <w:rPr>
          <w:rFonts w:ascii="Times New Roman" w:hAnsi="Times New Roman" w:cs="Times New Roman"/>
          <w:sz w:val="18"/>
          <w:szCs w:val="18"/>
        </w:rPr>
        <w:t xml:space="preserve"> See FINRA Notice 12-25, Q.6 (May 2012).  </w:t>
      </w:r>
    </w:p>
  </w:footnote>
  <w:footnote w:id="9">
    <w:p w:rsidR="00013E97" w:rsidRPr="00163FBA" w:rsidRDefault="00013E97" w:rsidP="008D14B0">
      <w:pPr>
        <w:autoSpaceDE w:val="0"/>
        <w:autoSpaceDN w:val="0"/>
        <w:adjustRightInd w:val="0"/>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Fonts w:ascii="Times New Roman" w:hAnsi="Times New Roman" w:cs="Times New Roman"/>
          <w:sz w:val="18"/>
          <w:szCs w:val="18"/>
        </w:rPr>
        <w:t xml:space="preserve"> </w:t>
      </w:r>
      <w:r w:rsidRPr="00163FBA">
        <w:rPr>
          <w:rFonts w:ascii="Times New Roman" w:hAnsi="Times New Roman" w:cs="Times New Roman"/>
          <w:i/>
          <w:iCs/>
          <w:sz w:val="18"/>
          <w:szCs w:val="18"/>
        </w:rPr>
        <w:t>See</w:t>
      </w:r>
      <w:r w:rsidRPr="00163FBA">
        <w:rPr>
          <w:rFonts w:ascii="Times New Roman" w:hAnsi="Times New Roman" w:cs="Times New Roman"/>
          <w:sz w:val="18"/>
          <w:szCs w:val="18"/>
        </w:rPr>
        <w:t xml:space="preserve"> ERISA § 3(21). The type of retirement plan fiduciary that we recommend be included within the retail customer definition may be the employer s</w:t>
      </w:r>
      <w:r w:rsidR="007B6DD9" w:rsidRPr="00163FBA">
        <w:rPr>
          <w:rFonts w:ascii="Times New Roman" w:hAnsi="Times New Roman" w:cs="Times New Roman"/>
          <w:sz w:val="18"/>
          <w:szCs w:val="18"/>
        </w:rPr>
        <w:t>p</w:t>
      </w:r>
      <w:r w:rsidRPr="00163FBA">
        <w:rPr>
          <w:rFonts w:ascii="Times New Roman" w:hAnsi="Times New Roman" w:cs="Times New Roman"/>
          <w:sz w:val="18"/>
          <w:szCs w:val="18"/>
        </w:rPr>
        <w:t xml:space="preserve">onsoring the plan or an employee or group of employees of the sponsoring employer exercising overall management over the plan’s governance.  As described below, we do not believe that professional investment experts retained by the plan to perform investment advisory services in a fiduciary capacity should be included. </w:t>
      </w:r>
    </w:p>
  </w:footnote>
  <w:footnote w:id="10">
    <w:p w:rsidR="005056DE" w:rsidRPr="007B6DD9" w:rsidRDefault="005056DE" w:rsidP="008D14B0">
      <w:pPr>
        <w:autoSpaceDE w:val="0"/>
        <w:autoSpaceDN w:val="0"/>
        <w:adjustRightInd w:val="0"/>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Fonts w:ascii="Times New Roman" w:hAnsi="Times New Roman" w:cs="Times New Roman"/>
          <w:sz w:val="18"/>
          <w:szCs w:val="18"/>
        </w:rPr>
        <w:t xml:space="preserve"> </w:t>
      </w:r>
      <w:r w:rsidR="007B6DD9" w:rsidRPr="00163FBA">
        <w:rPr>
          <w:rFonts w:ascii="Times New Roman" w:hAnsi="Times New Roman" w:cs="Times New Roman"/>
          <w:i/>
          <w:iCs/>
          <w:sz w:val="18"/>
          <w:szCs w:val="18"/>
        </w:rPr>
        <w:t>See DOL v. Koresko</w:t>
      </w:r>
      <w:r w:rsidR="007B6DD9" w:rsidRPr="00163FBA">
        <w:rPr>
          <w:rFonts w:ascii="Times New Roman" w:hAnsi="Times New Roman" w:cs="Times New Roman"/>
          <w:sz w:val="18"/>
          <w:szCs w:val="18"/>
        </w:rPr>
        <w:t xml:space="preserve">, 646 Fed. Appx. 230, 237 (3d Cir. 2016) (stating fiduciary duties attach to management of assets in which plan participants have a beneficial interest); ERISA § 502(a)(3) (providing a private right of action for ERISA fiduciaries to enforce the terms of the plan). </w:t>
      </w:r>
      <w:r w:rsidR="007B6DD9" w:rsidRPr="00163FBA">
        <w:rPr>
          <w:rFonts w:ascii="Times New Roman" w:hAnsi="Times New Roman" w:cs="Times New Roman"/>
          <w:i/>
          <w:iCs/>
          <w:sz w:val="18"/>
          <w:szCs w:val="18"/>
        </w:rPr>
        <w:t>Schneider v. Plymouth State Coll.</w:t>
      </w:r>
      <w:r w:rsidR="007B6DD9" w:rsidRPr="00163FBA">
        <w:rPr>
          <w:rFonts w:ascii="Times New Roman" w:hAnsi="Times New Roman" w:cs="Times New Roman"/>
          <w:sz w:val="18"/>
          <w:szCs w:val="18"/>
        </w:rPr>
        <w:t>, 744 A.2d 101, 105 (1999); Bogert, The Law Of Trusts And Trustees § 481 (2018).</w:t>
      </w:r>
    </w:p>
  </w:footnote>
  <w:footnote w:id="11">
    <w:p w:rsidR="007B6DD9" w:rsidRPr="00163FBA" w:rsidRDefault="007B6DD9" w:rsidP="008D14B0">
      <w:pPr>
        <w:pStyle w:val="FootnoteText"/>
        <w:rPr>
          <w:rFonts w:ascii="Times New Roman" w:hAnsi="Times New Roman" w:cs="Times New Roman"/>
        </w:rPr>
      </w:pPr>
      <w:r>
        <w:rPr>
          <w:rStyle w:val="FootnoteReference"/>
        </w:rPr>
        <w:footnoteRef/>
      </w:r>
      <w:r>
        <w:t xml:space="preserve"> </w:t>
      </w:r>
      <w:r w:rsidRPr="00163FBA">
        <w:rPr>
          <w:rFonts w:ascii="Times New Roman" w:hAnsi="Times New Roman" w:cs="Times New Roman"/>
          <w:i/>
          <w:iCs/>
          <w:sz w:val="18"/>
          <w:szCs w:val="18"/>
        </w:rPr>
        <w:t>Schneider v. Plymouth State Coll.</w:t>
      </w:r>
      <w:r w:rsidRPr="00163FBA">
        <w:rPr>
          <w:rFonts w:ascii="Times New Roman" w:hAnsi="Times New Roman" w:cs="Times New Roman"/>
          <w:sz w:val="18"/>
          <w:szCs w:val="18"/>
        </w:rPr>
        <w:t>, 744 A.2d 101, 105 (1999); Bogert, The Law Of Trusts And Trustees § 481 (2018).</w:t>
      </w:r>
    </w:p>
  </w:footnote>
  <w:footnote w:id="12">
    <w:p w:rsidR="007B6DD9" w:rsidRPr="00163FBA" w:rsidRDefault="007B6DD9" w:rsidP="008D14B0">
      <w:pPr>
        <w:autoSpaceDE w:val="0"/>
        <w:autoSpaceDN w:val="0"/>
        <w:adjustRightInd w:val="0"/>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Fonts w:ascii="Times New Roman" w:hAnsi="Times New Roman" w:cs="Times New Roman"/>
          <w:i/>
          <w:iCs/>
          <w:sz w:val="18"/>
          <w:szCs w:val="18"/>
        </w:rPr>
        <w:t>See</w:t>
      </w:r>
      <w:r w:rsidRPr="00163FBA">
        <w:rPr>
          <w:rFonts w:ascii="Times New Roman" w:hAnsi="Times New Roman" w:cs="Times New Roman"/>
          <w:sz w:val="18"/>
          <w:szCs w:val="18"/>
        </w:rPr>
        <w:t xml:space="preserve"> Representation by Fiduciaries and Parents, Unif.Trust Code § 303, Comment (2000). </w:t>
      </w:r>
    </w:p>
  </w:footnote>
  <w:footnote w:id="13">
    <w:p w:rsidR="00F63AE5" w:rsidRPr="00163FBA" w:rsidRDefault="00F63AE5" w:rsidP="008D14B0">
      <w:pPr>
        <w:autoSpaceDE w:val="0"/>
        <w:autoSpaceDN w:val="0"/>
        <w:adjustRightInd w:val="0"/>
        <w:rPr>
          <w:rFonts w:ascii="Times New Roman" w:hAnsi="Times New Roman" w:cs="Times New Roman"/>
          <w:iCs/>
          <w:sz w:val="18"/>
          <w:szCs w:val="18"/>
        </w:rPr>
      </w:pPr>
      <w:r w:rsidRPr="00163FBA">
        <w:rPr>
          <w:rStyle w:val="FootnoteReference"/>
          <w:rFonts w:ascii="Times New Roman" w:hAnsi="Times New Roman" w:cs="Times New Roman"/>
          <w:sz w:val="18"/>
          <w:szCs w:val="18"/>
        </w:rPr>
        <w:footnoteRef/>
      </w:r>
      <w:r w:rsidRPr="00163FBA">
        <w:rPr>
          <w:rFonts w:ascii="Times New Roman" w:hAnsi="Times New Roman" w:cs="Times New Roman"/>
          <w:sz w:val="18"/>
          <w:szCs w:val="18"/>
        </w:rPr>
        <w:t xml:space="preserve"> </w:t>
      </w:r>
      <w:r w:rsidR="00AE6873" w:rsidRPr="00163FBA">
        <w:rPr>
          <w:rFonts w:ascii="Times New Roman" w:hAnsi="Times New Roman" w:cs="Times New Roman"/>
          <w:iCs/>
          <w:sz w:val="18"/>
          <w:szCs w:val="18"/>
        </w:rPr>
        <w:t xml:space="preserve">Employee Benefit Security Administration, </w:t>
      </w:r>
      <w:r w:rsidR="00AE6873" w:rsidRPr="00163FBA">
        <w:rPr>
          <w:rFonts w:ascii="Times New Roman" w:eastAsiaTheme="minorEastAsia" w:hAnsi="Times New Roman" w:cs="Times New Roman"/>
          <w:iCs/>
          <w:sz w:val="18"/>
          <w:szCs w:val="18"/>
        </w:rPr>
        <w:t>Private Pension Plan Bulletin Abstract of 2015 Form 5500 Annual Reports Data Extracted on 7/7/2017</w:t>
      </w:r>
      <w:r w:rsidR="00AE6873" w:rsidRPr="00163FBA">
        <w:rPr>
          <w:rFonts w:ascii="Times New Roman" w:hAnsi="Times New Roman" w:cs="Times New Roman"/>
          <w:iCs/>
          <w:sz w:val="18"/>
          <w:szCs w:val="18"/>
        </w:rPr>
        <w:t>, Table B2, Distribution of Pension Plan by type and amount of assets, 2015</w:t>
      </w:r>
    </w:p>
  </w:footnote>
  <w:footnote w:id="14">
    <w:p w:rsidR="003307CC" w:rsidRPr="00C83205" w:rsidRDefault="003307CC" w:rsidP="008D14B0">
      <w:pPr>
        <w:pStyle w:val="FootnoteText"/>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Fonts w:ascii="Times New Roman" w:hAnsi="Times New Roman" w:cs="Times New Roman"/>
          <w:sz w:val="18"/>
          <w:szCs w:val="18"/>
        </w:rPr>
        <w:t>Vacated ERISA Reg. §2510.3-21(c)(i)(E), 81 Fed. Reg.20946, 20999 (April 8, 2016).</w:t>
      </w:r>
    </w:p>
  </w:footnote>
  <w:footnote w:id="15">
    <w:p w:rsidR="007329DD" w:rsidRPr="00163FBA" w:rsidRDefault="007329DD" w:rsidP="007329DD">
      <w:pPr>
        <w:pStyle w:val="FootnoteText"/>
        <w:rPr>
          <w:rFonts w:ascii="Times New Roman" w:hAnsi="Times New Roman" w:cs="Times New Roman"/>
          <w:sz w:val="18"/>
          <w:szCs w:val="18"/>
        </w:rPr>
      </w:pPr>
      <w:r w:rsidRPr="00163FBA">
        <w:rPr>
          <w:rStyle w:val="FootnoteReference"/>
          <w:rFonts w:ascii="Times New Roman" w:hAnsi="Times New Roman" w:cs="Times New Roman"/>
          <w:sz w:val="18"/>
          <w:szCs w:val="18"/>
        </w:rPr>
        <w:footnoteRef/>
      </w:r>
      <w:r w:rsidRPr="00163FBA">
        <w:rPr>
          <w:rFonts w:ascii="Times New Roman" w:hAnsi="Times New Roman" w:cs="Times New Roman"/>
          <w:sz w:val="18"/>
          <w:szCs w:val="18"/>
        </w:rP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32" w:rsidRDefault="00B17132">
    <w:pPr>
      <w:pStyle w:val="Header"/>
    </w:pPr>
    <w:r>
      <w:rPr>
        <w:noProof/>
      </w:rPr>
      <w:drawing>
        <wp:anchor distT="0" distB="0" distL="114300" distR="114300" simplePos="0" relativeHeight="251659264" behindDoc="0" locked="0" layoutInCell="1" allowOverlap="1" wp14:anchorId="1E694ACC" wp14:editId="71F6FA20">
          <wp:simplePos x="0" y="0"/>
          <wp:positionH relativeFrom="page">
            <wp:posOffset>9525</wp:posOffset>
          </wp:positionH>
          <wp:positionV relativeFrom="page">
            <wp:posOffset>0</wp:posOffset>
          </wp:positionV>
          <wp:extent cx="7772400" cy="10547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55"/>
    <w:rsid w:val="00013E97"/>
    <w:rsid w:val="000221D7"/>
    <w:rsid w:val="00031196"/>
    <w:rsid w:val="000455F5"/>
    <w:rsid w:val="00053D96"/>
    <w:rsid w:val="00091328"/>
    <w:rsid w:val="000E4B55"/>
    <w:rsid w:val="00103484"/>
    <w:rsid w:val="00111E3A"/>
    <w:rsid w:val="00163FBA"/>
    <w:rsid w:val="00170748"/>
    <w:rsid w:val="001A3AAF"/>
    <w:rsid w:val="001B2A8C"/>
    <w:rsid w:val="001F2537"/>
    <w:rsid w:val="001F7CCA"/>
    <w:rsid w:val="00202D33"/>
    <w:rsid w:val="00273C32"/>
    <w:rsid w:val="002E575B"/>
    <w:rsid w:val="003307CC"/>
    <w:rsid w:val="00352E71"/>
    <w:rsid w:val="00360872"/>
    <w:rsid w:val="003769D1"/>
    <w:rsid w:val="00393978"/>
    <w:rsid w:val="003B01B8"/>
    <w:rsid w:val="003D4993"/>
    <w:rsid w:val="00424B95"/>
    <w:rsid w:val="00477BDB"/>
    <w:rsid w:val="00485F8B"/>
    <w:rsid w:val="004A4EF3"/>
    <w:rsid w:val="004E35FF"/>
    <w:rsid w:val="005056DE"/>
    <w:rsid w:val="005127CB"/>
    <w:rsid w:val="00560852"/>
    <w:rsid w:val="00572595"/>
    <w:rsid w:val="005776E6"/>
    <w:rsid w:val="005E5960"/>
    <w:rsid w:val="005E59D2"/>
    <w:rsid w:val="00622325"/>
    <w:rsid w:val="00711DDA"/>
    <w:rsid w:val="00715155"/>
    <w:rsid w:val="0073062D"/>
    <w:rsid w:val="007329DD"/>
    <w:rsid w:val="007855AE"/>
    <w:rsid w:val="007B6DD9"/>
    <w:rsid w:val="007D2148"/>
    <w:rsid w:val="00821AA4"/>
    <w:rsid w:val="00843353"/>
    <w:rsid w:val="008C6277"/>
    <w:rsid w:val="008D14B0"/>
    <w:rsid w:val="008D52D4"/>
    <w:rsid w:val="0092576E"/>
    <w:rsid w:val="00931444"/>
    <w:rsid w:val="009B41AD"/>
    <w:rsid w:val="009D11B4"/>
    <w:rsid w:val="00A5537D"/>
    <w:rsid w:val="00AD29DC"/>
    <w:rsid w:val="00AD59AF"/>
    <w:rsid w:val="00AE6873"/>
    <w:rsid w:val="00B17132"/>
    <w:rsid w:val="00B33683"/>
    <w:rsid w:val="00B34128"/>
    <w:rsid w:val="00B376E9"/>
    <w:rsid w:val="00B814E5"/>
    <w:rsid w:val="00C83205"/>
    <w:rsid w:val="00D536DC"/>
    <w:rsid w:val="00DC4C83"/>
    <w:rsid w:val="00DD6959"/>
    <w:rsid w:val="00E075F1"/>
    <w:rsid w:val="00ED3158"/>
    <w:rsid w:val="00F046AE"/>
    <w:rsid w:val="00F568B0"/>
    <w:rsid w:val="00F6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ACD7DCA-91BD-7E42-98B4-18130380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978"/>
    <w:rPr>
      <w:sz w:val="20"/>
      <w:szCs w:val="20"/>
    </w:rPr>
  </w:style>
  <w:style w:type="character" w:customStyle="1" w:styleId="FootnoteTextChar">
    <w:name w:val="Footnote Text Char"/>
    <w:basedOn w:val="DefaultParagraphFont"/>
    <w:link w:val="FootnoteText"/>
    <w:uiPriority w:val="99"/>
    <w:semiHidden/>
    <w:rsid w:val="00393978"/>
    <w:rPr>
      <w:sz w:val="20"/>
      <w:szCs w:val="20"/>
    </w:rPr>
  </w:style>
  <w:style w:type="character" w:styleId="FootnoteReference">
    <w:name w:val="footnote reference"/>
    <w:basedOn w:val="DefaultParagraphFont"/>
    <w:uiPriority w:val="99"/>
    <w:semiHidden/>
    <w:unhideWhenUsed/>
    <w:rsid w:val="00393978"/>
    <w:rPr>
      <w:vertAlign w:val="superscript"/>
    </w:rPr>
  </w:style>
  <w:style w:type="paragraph" w:styleId="Footer">
    <w:name w:val="footer"/>
    <w:basedOn w:val="Normal"/>
    <w:link w:val="FooterChar"/>
    <w:uiPriority w:val="99"/>
    <w:unhideWhenUsed/>
    <w:rsid w:val="00B33683"/>
    <w:pPr>
      <w:tabs>
        <w:tab w:val="center" w:pos="4680"/>
        <w:tab w:val="right" w:pos="9360"/>
      </w:tabs>
    </w:pPr>
  </w:style>
  <w:style w:type="character" w:customStyle="1" w:styleId="FooterChar">
    <w:name w:val="Footer Char"/>
    <w:basedOn w:val="DefaultParagraphFont"/>
    <w:link w:val="Footer"/>
    <w:uiPriority w:val="99"/>
    <w:rsid w:val="00B33683"/>
  </w:style>
  <w:style w:type="character" w:styleId="PageNumber">
    <w:name w:val="page number"/>
    <w:basedOn w:val="DefaultParagraphFont"/>
    <w:uiPriority w:val="99"/>
    <w:semiHidden/>
    <w:unhideWhenUsed/>
    <w:rsid w:val="00B33683"/>
  </w:style>
  <w:style w:type="paragraph" w:styleId="BalloonText">
    <w:name w:val="Balloon Text"/>
    <w:basedOn w:val="Normal"/>
    <w:link w:val="BalloonTextChar"/>
    <w:uiPriority w:val="99"/>
    <w:semiHidden/>
    <w:unhideWhenUsed/>
    <w:rsid w:val="00ED3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58"/>
    <w:rPr>
      <w:rFonts w:ascii="Segoe UI" w:hAnsi="Segoe UI" w:cs="Segoe UI"/>
      <w:sz w:val="18"/>
      <w:szCs w:val="18"/>
    </w:rPr>
  </w:style>
  <w:style w:type="paragraph" w:styleId="Header">
    <w:name w:val="header"/>
    <w:basedOn w:val="Normal"/>
    <w:link w:val="HeaderChar"/>
    <w:uiPriority w:val="99"/>
    <w:unhideWhenUsed/>
    <w:rsid w:val="00B17132"/>
    <w:pPr>
      <w:tabs>
        <w:tab w:val="center" w:pos="4680"/>
        <w:tab w:val="right" w:pos="9360"/>
      </w:tabs>
    </w:pPr>
  </w:style>
  <w:style w:type="character" w:customStyle="1" w:styleId="HeaderChar">
    <w:name w:val="Header Char"/>
    <w:basedOn w:val="DefaultParagraphFont"/>
    <w:link w:val="Header"/>
    <w:uiPriority w:val="99"/>
    <w:rsid w:val="00B17132"/>
  </w:style>
  <w:style w:type="character" w:styleId="Hyperlink">
    <w:name w:val="Hyperlink"/>
    <w:basedOn w:val="DefaultParagraphFont"/>
    <w:uiPriority w:val="99"/>
    <w:unhideWhenUsed/>
    <w:rsid w:val="00163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8643">
      <w:bodyDiv w:val="1"/>
      <w:marLeft w:val="0"/>
      <w:marRight w:val="0"/>
      <w:marTop w:val="0"/>
      <w:marBottom w:val="0"/>
      <w:divBdr>
        <w:top w:val="none" w:sz="0" w:space="0" w:color="auto"/>
        <w:left w:val="none" w:sz="0" w:space="0" w:color="auto"/>
        <w:bottom w:val="none" w:sz="0" w:space="0" w:color="auto"/>
        <w:right w:val="none" w:sz="0" w:space="0" w:color="auto"/>
      </w:divBdr>
    </w:div>
    <w:div w:id="11553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zabeth.duda\AppData\Local\Microsoft\Windows\Temporary%20Internet%20Files\Content.Outlook\OES6WKTG\choffman@USARetireme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Fisher@USARetirement.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C69C-46AA-4067-80FA-C6B65051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Fisher</dc:creator>
  <cp:keywords/>
  <dc:description/>
  <cp:lastModifiedBy>Doug Fisher</cp:lastModifiedBy>
  <cp:revision>2</cp:revision>
  <cp:lastPrinted>2018-12-12T19:35:00Z</cp:lastPrinted>
  <dcterms:created xsi:type="dcterms:W3CDTF">2018-12-12T20:48:00Z</dcterms:created>
  <dcterms:modified xsi:type="dcterms:W3CDTF">2018-12-12T20:48:00Z</dcterms:modified>
</cp:coreProperties>
</file>